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782B6A">
      <w:pPr>
        <w:keepNext w:val="0"/>
        <w:keepLines w:val="0"/>
        <w:pageBreakBefore w:val="0"/>
        <w:widowControl w:val="0"/>
        <w:kinsoku/>
        <w:wordWrap/>
        <w:overflowPunct/>
        <w:topLinePunct w:val="0"/>
        <w:autoSpaceDE/>
        <w:autoSpaceDN/>
        <w:bidi w:val="0"/>
        <w:adjustRightInd/>
        <w:snapToGrid/>
        <w:spacing w:after="313" w:afterLines="100"/>
        <w:jc w:val="center"/>
        <w:textAlignment w:val="auto"/>
        <w:rPr>
          <w:rFonts w:hint="eastAsia" w:ascii="黑体" w:hAnsi="黑体" w:eastAsia="黑体" w:cs="黑体"/>
          <w:sz w:val="36"/>
          <w:szCs w:val="36"/>
          <w:lang w:val="en-US" w:eastAsia="zh-CN"/>
        </w:rPr>
      </w:pPr>
      <w:r>
        <w:rPr>
          <w:rFonts w:hint="eastAsia" w:ascii="黑体" w:hAnsi="黑体" w:eastAsia="黑体" w:cs="黑体"/>
          <w:sz w:val="36"/>
          <w:szCs w:val="36"/>
          <w:lang w:eastAsia="zh-CN"/>
        </w:rPr>
        <w:t>上海海事大学</w:t>
      </w:r>
      <w:r>
        <w:rPr>
          <w:rFonts w:hint="eastAsia" w:ascii="黑体" w:hAnsi="黑体" w:eastAsia="黑体" w:cs="黑体"/>
          <w:sz w:val="36"/>
          <w:szCs w:val="36"/>
        </w:rPr>
        <w:t>专利代理</w:t>
      </w:r>
      <w:r>
        <w:rPr>
          <w:rFonts w:hint="eastAsia" w:ascii="黑体" w:hAnsi="黑体" w:eastAsia="黑体" w:cs="黑体"/>
          <w:sz w:val="36"/>
          <w:szCs w:val="36"/>
          <w:lang w:val="en-US" w:eastAsia="zh-CN"/>
        </w:rPr>
        <w:t>服务</w:t>
      </w:r>
      <w:r>
        <w:rPr>
          <w:rFonts w:hint="eastAsia" w:ascii="黑体" w:hAnsi="黑体" w:eastAsia="黑体" w:cs="黑体"/>
          <w:sz w:val="36"/>
          <w:szCs w:val="36"/>
        </w:rPr>
        <w:t>机构</w:t>
      </w:r>
      <w:r>
        <w:rPr>
          <w:rFonts w:hint="eastAsia" w:ascii="黑体" w:hAnsi="黑体" w:eastAsia="黑体" w:cs="黑体"/>
          <w:sz w:val="36"/>
          <w:szCs w:val="36"/>
          <w:lang w:val="en-US" w:eastAsia="zh-CN"/>
        </w:rPr>
        <w:t>名单</w:t>
      </w:r>
    </w:p>
    <w:p w14:paraId="78E32602">
      <w:pPr>
        <w:keepNext w:val="0"/>
        <w:keepLines w:val="0"/>
        <w:pageBreakBefore w:val="0"/>
        <w:widowControl w:val="0"/>
        <w:kinsoku/>
        <w:wordWrap/>
        <w:overflowPunct/>
        <w:topLinePunct w:val="0"/>
        <w:autoSpaceDE/>
        <w:autoSpaceDN/>
        <w:bidi w:val="0"/>
        <w:adjustRightInd/>
        <w:snapToGrid/>
        <w:spacing w:before="157" w:beforeLines="50" w:after="157" w:afterLines="50"/>
        <w:jc w:val="left"/>
        <w:textAlignment w:val="auto"/>
        <w:rPr>
          <w:rFonts w:hint="eastAsia" w:ascii="仿宋" w:hAnsi="仿宋" w:eastAsia="仿宋" w:cs="仿宋"/>
          <w:b/>
          <w:bCs/>
          <w:sz w:val="28"/>
          <w:szCs w:val="28"/>
        </w:rPr>
      </w:pPr>
      <w:r>
        <w:rPr>
          <w:rFonts w:hint="eastAsia" w:ascii="仿宋" w:hAnsi="仿宋" w:eastAsia="仿宋" w:cs="仿宋"/>
          <w:b/>
          <w:bCs/>
          <w:sz w:val="28"/>
          <w:szCs w:val="28"/>
          <w:lang w:val="en-US" w:eastAsia="zh-CN"/>
        </w:rPr>
        <w:t>一、代理服务机构名单（2025-2027年）</w:t>
      </w:r>
    </w:p>
    <w:tbl>
      <w:tblPr>
        <w:tblStyle w:val="6"/>
        <w:tblW w:w="87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0"/>
        <w:gridCol w:w="1343"/>
        <w:gridCol w:w="2302"/>
        <w:gridCol w:w="1206"/>
        <w:gridCol w:w="3088"/>
      </w:tblGrid>
      <w:tr w14:paraId="78F25A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14:paraId="33C66E19">
            <w:pPr>
              <w:keepNext w:val="0"/>
              <w:keepLines w:val="0"/>
              <w:pageBreakBefore w:val="0"/>
              <w:widowControl/>
              <w:kinsoku/>
              <w:wordWrap/>
              <w:overflowPunct/>
              <w:topLinePunct w:val="0"/>
              <w:autoSpaceDE/>
              <w:autoSpaceDN/>
              <w:bidi w:val="0"/>
              <w:adjustRightInd w:val="0"/>
              <w:snapToGrid w:val="0"/>
              <w:jc w:val="center"/>
              <w:textAlignment w:val="auto"/>
              <w:rPr>
                <w:rFonts w:hint="eastAsia" w:ascii="仿宋" w:hAnsi="仿宋" w:eastAsia="仿宋" w:cs="仿宋"/>
                <w:b/>
                <w:bCs/>
                <w:color w:val="auto"/>
                <w:sz w:val="24"/>
                <w:szCs w:val="24"/>
              </w:rPr>
            </w:pPr>
            <w:bookmarkStart w:id="0" w:name="_Hlk87972744"/>
            <w:r>
              <w:rPr>
                <w:rFonts w:hint="eastAsia" w:ascii="仿宋" w:hAnsi="仿宋" w:eastAsia="仿宋" w:cs="仿宋"/>
                <w:b/>
                <w:bCs/>
                <w:color w:val="auto"/>
                <w:sz w:val="24"/>
                <w:szCs w:val="24"/>
              </w:rPr>
              <w:t>序号</w:t>
            </w:r>
          </w:p>
        </w:tc>
        <w:tc>
          <w:tcPr>
            <w:tcW w:w="1343" w:type="dxa"/>
            <w:tcBorders>
              <w:top w:val="single" w:color="auto" w:sz="4" w:space="0"/>
              <w:left w:val="nil"/>
              <w:bottom w:val="single" w:color="auto" w:sz="4" w:space="0"/>
              <w:right w:val="single" w:color="auto" w:sz="4" w:space="0"/>
            </w:tcBorders>
            <w:shd w:val="clear" w:color="auto" w:fill="auto"/>
            <w:vAlign w:val="center"/>
          </w:tcPr>
          <w:p w14:paraId="2E0A9817">
            <w:pPr>
              <w:keepNext w:val="0"/>
              <w:keepLines w:val="0"/>
              <w:pageBreakBefore w:val="0"/>
              <w:kinsoku/>
              <w:wordWrap/>
              <w:overflowPunct/>
              <w:topLinePunct w:val="0"/>
              <w:autoSpaceDE/>
              <w:autoSpaceDN/>
              <w:bidi w:val="0"/>
              <w:adjustRightInd w:val="0"/>
              <w:snapToGrid w:val="0"/>
              <w:jc w:val="center"/>
              <w:textAlignment w:val="auto"/>
              <w:rPr>
                <w:rFonts w:hint="eastAsia" w:ascii="仿宋" w:hAnsi="仿宋" w:eastAsia="仿宋" w:cs="仿宋"/>
                <w:b/>
                <w:bCs/>
                <w:color w:val="auto"/>
                <w:sz w:val="24"/>
                <w:szCs w:val="24"/>
              </w:rPr>
            </w:pPr>
            <w:r>
              <w:rPr>
                <w:rFonts w:hint="eastAsia" w:ascii="仿宋" w:hAnsi="仿宋" w:eastAsia="仿宋" w:cs="仿宋"/>
                <w:b/>
                <w:bCs/>
                <w:color w:val="auto"/>
                <w:sz w:val="24"/>
                <w:szCs w:val="24"/>
              </w:rPr>
              <w:t>机构名称</w:t>
            </w:r>
          </w:p>
        </w:tc>
        <w:tc>
          <w:tcPr>
            <w:tcW w:w="2302" w:type="dxa"/>
            <w:tcBorders>
              <w:top w:val="single" w:color="auto" w:sz="4" w:space="0"/>
              <w:left w:val="nil"/>
              <w:bottom w:val="single" w:color="auto" w:sz="4" w:space="0"/>
              <w:right w:val="single" w:color="auto" w:sz="4" w:space="0"/>
            </w:tcBorders>
            <w:shd w:val="clear" w:color="auto" w:fill="auto"/>
            <w:vAlign w:val="center"/>
          </w:tcPr>
          <w:p w14:paraId="4B74DF98">
            <w:pPr>
              <w:keepNext w:val="0"/>
              <w:keepLines w:val="0"/>
              <w:pageBreakBefore w:val="0"/>
              <w:kinsoku/>
              <w:wordWrap/>
              <w:overflowPunct/>
              <w:topLinePunct w:val="0"/>
              <w:autoSpaceDE/>
              <w:autoSpaceDN/>
              <w:bidi w:val="0"/>
              <w:adjustRightInd w:val="0"/>
              <w:snapToGrid w:val="0"/>
              <w:jc w:val="center"/>
              <w:textAlignment w:val="auto"/>
              <w:rPr>
                <w:rFonts w:hint="eastAsia" w:ascii="仿宋" w:hAnsi="仿宋" w:eastAsia="仿宋" w:cs="仿宋"/>
                <w:b/>
                <w:bCs/>
                <w:color w:val="auto"/>
                <w:sz w:val="24"/>
                <w:szCs w:val="24"/>
              </w:rPr>
            </w:pPr>
            <w:r>
              <w:rPr>
                <w:rFonts w:hint="eastAsia" w:ascii="仿宋" w:hAnsi="仿宋" w:eastAsia="仿宋" w:cs="仿宋"/>
                <w:b/>
                <w:bCs/>
                <w:color w:val="auto"/>
                <w:sz w:val="24"/>
                <w:szCs w:val="24"/>
              </w:rPr>
              <w:t>擅长领域</w:t>
            </w:r>
          </w:p>
        </w:tc>
        <w:tc>
          <w:tcPr>
            <w:tcW w:w="1206" w:type="dxa"/>
            <w:tcBorders>
              <w:top w:val="single" w:color="auto" w:sz="4" w:space="0"/>
              <w:left w:val="nil"/>
              <w:bottom w:val="single" w:color="auto" w:sz="4" w:space="0"/>
              <w:right w:val="single" w:color="auto" w:sz="4" w:space="0"/>
            </w:tcBorders>
            <w:shd w:val="clear" w:color="auto" w:fill="auto"/>
            <w:vAlign w:val="center"/>
          </w:tcPr>
          <w:p w14:paraId="1BCAA963">
            <w:pPr>
              <w:keepNext w:val="0"/>
              <w:keepLines w:val="0"/>
              <w:pageBreakBefore w:val="0"/>
              <w:kinsoku/>
              <w:wordWrap/>
              <w:overflowPunct/>
              <w:topLinePunct w:val="0"/>
              <w:autoSpaceDE/>
              <w:autoSpaceDN/>
              <w:bidi w:val="0"/>
              <w:adjustRightInd w:val="0"/>
              <w:snapToGrid w:val="0"/>
              <w:jc w:val="center"/>
              <w:textAlignment w:val="auto"/>
              <w:rPr>
                <w:rFonts w:hint="eastAsia" w:ascii="仿宋" w:hAnsi="仿宋" w:eastAsia="仿宋" w:cs="仿宋"/>
                <w:b/>
                <w:bCs/>
                <w:color w:val="auto"/>
                <w:sz w:val="24"/>
                <w:szCs w:val="24"/>
              </w:rPr>
            </w:pPr>
            <w:r>
              <w:rPr>
                <w:rFonts w:hint="eastAsia" w:ascii="仿宋" w:hAnsi="仿宋" w:eastAsia="仿宋" w:cs="仿宋"/>
                <w:b/>
                <w:bCs/>
                <w:color w:val="auto"/>
                <w:sz w:val="24"/>
                <w:szCs w:val="24"/>
              </w:rPr>
              <w:t>联系人</w:t>
            </w:r>
          </w:p>
        </w:tc>
        <w:tc>
          <w:tcPr>
            <w:tcW w:w="3088" w:type="dxa"/>
            <w:tcBorders>
              <w:top w:val="single" w:color="auto" w:sz="4" w:space="0"/>
              <w:left w:val="nil"/>
              <w:bottom w:val="single" w:color="auto" w:sz="4" w:space="0"/>
              <w:right w:val="single" w:color="auto" w:sz="4" w:space="0"/>
            </w:tcBorders>
            <w:shd w:val="clear" w:color="auto" w:fill="auto"/>
            <w:vAlign w:val="center"/>
          </w:tcPr>
          <w:p w14:paraId="59CC7289">
            <w:pPr>
              <w:keepNext w:val="0"/>
              <w:keepLines w:val="0"/>
              <w:pageBreakBefore w:val="0"/>
              <w:kinsoku/>
              <w:wordWrap/>
              <w:overflowPunct/>
              <w:topLinePunct w:val="0"/>
              <w:autoSpaceDE/>
              <w:autoSpaceDN/>
              <w:bidi w:val="0"/>
              <w:adjustRightInd w:val="0"/>
              <w:snapToGrid w:val="0"/>
              <w:jc w:val="center"/>
              <w:textAlignment w:val="auto"/>
              <w:rPr>
                <w:rFonts w:hint="eastAsia" w:ascii="仿宋" w:hAnsi="仿宋" w:eastAsia="仿宋" w:cs="仿宋"/>
                <w:b/>
                <w:bCs/>
                <w:color w:val="auto"/>
                <w:sz w:val="24"/>
                <w:szCs w:val="24"/>
                <w:lang w:val="en-US" w:eastAsia="zh-CN"/>
              </w:rPr>
            </w:pPr>
            <w:r>
              <w:rPr>
                <w:rFonts w:hint="eastAsia" w:ascii="仿宋" w:hAnsi="仿宋" w:eastAsia="仿宋" w:cs="仿宋"/>
                <w:b/>
                <w:bCs/>
                <w:color w:val="auto"/>
                <w:sz w:val="24"/>
                <w:szCs w:val="24"/>
              </w:rPr>
              <w:t>联系方式</w:t>
            </w:r>
            <w:r>
              <w:rPr>
                <w:rFonts w:hint="eastAsia" w:ascii="仿宋" w:hAnsi="仿宋" w:eastAsia="仿宋" w:cs="仿宋"/>
                <w:b/>
                <w:bCs/>
                <w:color w:val="auto"/>
                <w:sz w:val="24"/>
                <w:szCs w:val="24"/>
                <w:lang w:val="en-US" w:eastAsia="zh-CN"/>
              </w:rPr>
              <w:t>及邮箱</w:t>
            </w:r>
          </w:p>
        </w:tc>
      </w:tr>
      <w:tr w14:paraId="2D272C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0" w:type="dxa"/>
            <w:vAlign w:val="center"/>
          </w:tcPr>
          <w:p w14:paraId="1D66459F">
            <w:pPr>
              <w:keepNext w:val="0"/>
              <w:keepLines w:val="0"/>
              <w:pageBreakBefore w:val="0"/>
              <w:numPr>
                <w:ilvl w:val="0"/>
                <w:numId w:val="0"/>
              </w:numPr>
              <w:kinsoku/>
              <w:wordWrap/>
              <w:overflowPunct/>
              <w:topLinePunct w:val="0"/>
              <w:autoSpaceDE/>
              <w:autoSpaceDN/>
              <w:bidi w:val="0"/>
              <w:adjustRightInd w:val="0"/>
              <w:snapToGrid w:val="0"/>
              <w:ind w:leftChars="0"/>
              <w:jc w:val="center"/>
              <w:textAlignment w:val="auto"/>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1</w:t>
            </w:r>
          </w:p>
        </w:tc>
        <w:tc>
          <w:tcPr>
            <w:tcW w:w="1343" w:type="dxa"/>
            <w:tcBorders>
              <w:top w:val="single" w:color="auto" w:sz="4" w:space="0"/>
              <w:left w:val="single" w:color="auto" w:sz="4" w:space="0"/>
              <w:bottom w:val="single" w:color="auto" w:sz="4" w:space="0"/>
              <w:right w:val="single" w:color="auto" w:sz="4" w:space="0"/>
            </w:tcBorders>
            <w:shd w:val="clear" w:color="auto" w:fill="auto"/>
            <w:vAlign w:val="center"/>
          </w:tcPr>
          <w:p w14:paraId="1CC11CAC">
            <w:pPr>
              <w:keepNext w:val="0"/>
              <w:keepLines w:val="0"/>
              <w:pageBreakBefore w:val="0"/>
              <w:widowControl/>
              <w:kinsoku/>
              <w:wordWrap/>
              <w:overflowPunct/>
              <w:topLinePunct w:val="0"/>
              <w:autoSpaceDE/>
              <w:autoSpaceDN/>
              <w:bidi w:val="0"/>
              <w:adjustRightInd w:val="0"/>
              <w:snapToGrid w:val="0"/>
              <w:jc w:val="both"/>
              <w:textAlignment w:val="auto"/>
              <w:rPr>
                <w:rFonts w:hint="default" w:ascii="仿宋" w:hAnsi="仿宋" w:eastAsia="仿宋" w:cs="仿宋"/>
                <w:i w:val="0"/>
                <w:iCs w:val="0"/>
                <w:caps w:val="0"/>
                <w:color w:val="auto"/>
                <w:spacing w:val="0"/>
                <w:sz w:val="24"/>
                <w:szCs w:val="24"/>
                <w:shd w:val="clear" w:fill="FFFFFF"/>
                <w:lang w:val="en-US" w:eastAsia="zh-CN"/>
              </w:rPr>
            </w:pPr>
            <w:r>
              <w:rPr>
                <w:rFonts w:hint="eastAsia" w:ascii="仿宋" w:hAnsi="仿宋" w:eastAsia="仿宋" w:cs="仿宋"/>
                <w:i w:val="0"/>
                <w:iCs w:val="0"/>
                <w:caps w:val="0"/>
                <w:color w:val="auto"/>
                <w:spacing w:val="0"/>
                <w:sz w:val="24"/>
                <w:szCs w:val="24"/>
                <w:shd w:val="clear" w:fill="FFFFFF"/>
                <w:lang w:val="en-US" w:eastAsia="zh-CN"/>
              </w:rPr>
              <w:t>上海迎向知识产权代理事务所(普通合伙）</w:t>
            </w:r>
          </w:p>
        </w:tc>
        <w:tc>
          <w:tcPr>
            <w:tcW w:w="2302" w:type="dxa"/>
            <w:tcBorders>
              <w:top w:val="single" w:color="auto" w:sz="4" w:space="0"/>
              <w:left w:val="nil"/>
              <w:bottom w:val="single" w:color="auto" w:sz="4" w:space="0"/>
              <w:right w:val="single" w:color="auto" w:sz="4" w:space="0"/>
            </w:tcBorders>
            <w:shd w:val="clear" w:color="auto" w:fill="auto"/>
            <w:vAlign w:val="center"/>
          </w:tcPr>
          <w:p w14:paraId="4B43D8E3">
            <w:pPr>
              <w:keepNext w:val="0"/>
              <w:keepLines w:val="0"/>
              <w:pageBreakBefore w:val="0"/>
              <w:kinsoku/>
              <w:wordWrap/>
              <w:overflowPunct/>
              <w:topLinePunct w:val="0"/>
              <w:autoSpaceDE/>
              <w:autoSpaceDN/>
              <w:bidi w:val="0"/>
              <w:adjustRightInd w:val="0"/>
              <w:snapToGrid w:val="0"/>
              <w:jc w:val="both"/>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机械、船用设备及控制、电学、计算机、材料及化学</w:t>
            </w:r>
          </w:p>
        </w:tc>
        <w:tc>
          <w:tcPr>
            <w:tcW w:w="1206" w:type="dxa"/>
            <w:tcBorders>
              <w:top w:val="single" w:color="auto" w:sz="4" w:space="0"/>
              <w:left w:val="nil"/>
              <w:bottom w:val="single" w:color="auto" w:sz="4" w:space="0"/>
              <w:right w:val="single" w:color="auto" w:sz="4" w:space="0"/>
            </w:tcBorders>
            <w:shd w:val="clear" w:color="auto" w:fill="auto"/>
            <w:vAlign w:val="center"/>
          </w:tcPr>
          <w:p w14:paraId="2B620095">
            <w:pPr>
              <w:keepNext w:val="0"/>
              <w:keepLines w:val="0"/>
              <w:pageBreakBefore w:val="0"/>
              <w:kinsoku/>
              <w:wordWrap/>
              <w:overflowPunct/>
              <w:topLinePunct w:val="0"/>
              <w:autoSpaceDE/>
              <w:autoSpaceDN/>
              <w:bidi w:val="0"/>
              <w:adjustRightInd w:val="0"/>
              <w:snapToGrid w:val="0"/>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张峰</w:t>
            </w:r>
          </w:p>
        </w:tc>
        <w:tc>
          <w:tcPr>
            <w:tcW w:w="3088" w:type="dxa"/>
            <w:tcBorders>
              <w:top w:val="single" w:color="auto" w:sz="4" w:space="0"/>
              <w:left w:val="nil"/>
              <w:bottom w:val="single" w:color="auto" w:sz="4" w:space="0"/>
              <w:right w:val="single" w:color="auto" w:sz="4" w:space="0"/>
            </w:tcBorders>
            <w:shd w:val="clear" w:color="auto" w:fill="auto"/>
            <w:vAlign w:val="center"/>
          </w:tcPr>
          <w:p w14:paraId="21E1D356">
            <w:pPr>
              <w:keepNext w:val="0"/>
              <w:keepLines w:val="0"/>
              <w:pageBreakBefore w:val="0"/>
              <w:kinsoku/>
              <w:wordWrap/>
              <w:overflowPunct/>
              <w:topLinePunct w:val="0"/>
              <w:autoSpaceDE/>
              <w:autoSpaceDN/>
              <w:bidi w:val="0"/>
              <w:adjustRightInd w:val="0"/>
              <w:snapToGrid w:val="0"/>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18662590834</w:t>
            </w:r>
            <w:r>
              <w:rPr>
                <w:rFonts w:hint="eastAsia" w:ascii="仿宋" w:hAnsi="仿宋" w:eastAsia="仿宋" w:cs="仿宋"/>
                <w:color w:val="000000"/>
                <w:sz w:val="24"/>
                <w:szCs w:val="24"/>
              </w:rPr>
              <w:br w:type="textWrapping"/>
            </w:r>
            <w:r>
              <w:rPr>
                <w:rFonts w:hint="eastAsia" w:ascii="仿宋" w:hAnsi="仿宋" w:eastAsia="仿宋" w:cs="仿宋"/>
                <w:color w:val="000000"/>
                <w:sz w:val="24"/>
                <w:szCs w:val="24"/>
              </w:rPr>
              <w:t>zhangfeng@towardsip.com</w:t>
            </w:r>
          </w:p>
        </w:tc>
      </w:tr>
      <w:tr w14:paraId="38145E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0" w:type="dxa"/>
            <w:vAlign w:val="center"/>
          </w:tcPr>
          <w:p w14:paraId="51904FB2">
            <w:pPr>
              <w:keepNext w:val="0"/>
              <w:keepLines w:val="0"/>
              <w:pageBreakBefore w:val="0"/>
              <w:numPr>
                <w:ilvl w:val="0"/>
                <w:numId w:val="0"/>
              </w:numPr>
              <w:kinsoku/>
              <w:wordWrap/>
              <w:overflowPunct/>
              <w:topLinePunct w:val="0"/>
              <w:autoSpaceDE/>
              <w:autoSpaceDN/>
              <w:bidi w:val="0"/>
              <w:adjustRightInd w:val="0"/>
              <w:snapToGrid w:val="0"/>
              <w:ind w:leftChars="0"/>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w:t>
            </w:r>
          </w:p>
        </w:tc>
        <w:tc>
          <w:tcPr>
            <w:tcW w:w="1343" w:type="dxa"/>
            <w:tcBorders>
              <w:top w:val="single" w:color="auto" w:sz="4" w:space="0"/>
              <w:left w:val="single" w:color="auto" w:sz="4" w:space="0"/>
              <w:bottom w:val="single" w:color="auto" w:sz="4" w:space="0"/>
              <w:right w:val="single" w:color="auto" w:sz="4" w:space="0"/>
            </w:tcBorders>
            <w:shd w:val="clear" w:color="auto" w:fill="auto"/>
            <w:vAlign w:val="center"/>
          </w:tcPr>
          <w:p w14:paraId="0480365C">
            <w:pPr>
              <w:keepNext w:val="0"/>
              <w:keepLines w:val="0"/>
              <w:pageBreakBefore w:val="0"/>
              <w:widowControl/>
              <w:kinsoku/>
              <w:wordWrap/>
              <w:overflowPunct/>
              <w:topLinePunct w:val="0"/>
              <w:autoSpaceDE/>
              <w:autoSpaceDN/>
              <w:bidi w:val="0"/>
              <w:adjustRightInd w:val="0"/>
              <w:snapToGrid w:val="0"/>
              <w:jc w:val="both"/>
              <w:textAlignment w:val="auto"/>
              <w:rPr>
                <w:rFonts w:hint="eastAsia" w:ascii="仿宋" w:hAnsi="仿宋" w:eastAsia="仿宋" w:cs="仿宋"/>
                <w:color w:val="000000"/>
                <w:sz w:val="24"/>
                <w:szCs w:val="24"/>
              </w:rPr>
            </w:pPr>
            <w:r>
              <w:rPr>
                <w:rFonts w:hint="eastAsia" w:ascii="仿宋" w:hAnsi="仿宋" w:eastAsia="仿宋" w:cs="仿宋"/>
                <w:i w:val="0"/>
                <w:iCs w:val="0"/>
                <w:caps w:val="0"/>
                <w:color w:val="auto"/>
                <w:spacing w:val="0"/>
                <w:sz w:val="24"/>
                <w:szCs w:val="24"/>
                <w:shd w:val="clear" w:fill="FFFFFF"/>
                <w:lang w:val="en-US" w:eastAsia="zh-CN"/>
              </w:rPr>
              <w:t>上海科盛知识产权代理有限公司</w:t>
            </w:r>
          </w:p>
        </w:tc>
        <w:tc>
          <w:tcPr>
            <w:tcW w:w="2302" w:type="dxa"/>
            <w:tcBorders>
              <w:top w:val="single" w:color="auto" w:sz="4" w:space="0"/>
              <w:left w:val="nil"/>
              <w:bottom w:val="single" w:color="auto" w:sz="4" w:space="0"/>
              <w:right w:val="single" w:color="auto" w:sz="4" w:space="0"/>
            </w:tcBorders>
            <w:shd w:val="clear" w:color="auto" w:fill="auto"/>
            <w:vAlign w:val="center"/>
          </w:tcPr>
          <w:p w14:paraId="1930A8C4">
            <w:pPr>
              <w:keepNext w:val="0"/>
              <w:keepLines w:val="0"/>
              <w:pageBreakBefore w:val="0"/>
              <w:kinsoku/>
              <w:wordWrap/>
              <w:overflowPunct/>
              <w:topLinePunct w:val="0"/>
              <w:autoSpaceDE/>
              <w:autoSpaceDN/>
              <w:bidi w:val="0"/>
              <w:adjustRightInd w:val="0"/>
              <w:snapToGrid w:val="0"/>
              <w:jc w:val="both"/>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海洋科学、交通、航运、物流、机械、电力、材料、电子信息、通信和大数据处理技术</w:t>
            </w:r>
          </w:p>
        </w:tc>
        <w:tc>
          <w:tcPr>
            <w:tcW w:w="1206" w:type="dxa"/>
            <w:tcBorders>
              <w:top w:val="single" w:color="auto" w:sz="4" w:space="0"/>
              <w:left w:val="nil"/>
              <w:bottom w:val="single" w:color="auto" w:sz="4" w:space="0"/>
              <w:right w:val="single" w:color="auto" w:sz="4" w:space="0"/>
            </w:tcBorders>
            <w:shd w:val="clear" w:color="auto" w:fill="auto"/>
            <w:vAlign w:val="center"/>
          </w:tcPr>
          <w:p w14:paraId="2539FB05">
            <w:pPr>
              <w:keepNext w:val="0"/>
              <w:keepLines w:val="0"/>
              <w:pageBreakBefore w:val="0"/>
              <w:kinsoku/>
              <w:wordWrap/>
              <w:overflowPunct/>
              <w:topLinePunct w:val="0"/>
              <w:autoSpaceDE/>
              <w:autoSpaceDN/>
              <w:bidi w:val="0"/>
              <w:adjustRightInd w:val="0"/>
              <w:snapToGrid w:val="0"/>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邓天玥</w:t>
            </w:r>
          </w:p>
        </w:tc>
        <w:tc>
          <w:tcPr>
            <w:tcW w:w="3088" w:type="dxa"/>
            <w:tcBorders>
              <w:top w:val="single" w:color="auto" w:sz="4" w:space="0"/>
              <w:left w:val="nil"/>
              <w:bottom w:val="single" w:color="auto" w:sz="4" w:space="0"/>
              <w:right w:val="single" w:color="auto" w:sz="4" w:space="0"/>
            </w:tcBorders>
            <w:shd w:val="clear" w:color="auto" w:fill="auto"/>
            <w:vAlign w:val="center"/>
          </w:tcPr>
          <w:p w14:paraId="6AAD856B">
            <w:pPr>
              <w:keepNext w:val="0"/>
              <w:keepLines w:val="0"/>
              <w:pageBreakBefore w:val="0"/>
              <w:kinsoku/>
              <w:wordWrap/>
              <w:overflowPunct/>
              <w:topLinePunct w:val="0"/>
              <w:autoSpaceDE/>
              <w:autoSpaceDN/>
              <w:bidi w:val="0"/>
              <w:adjustRightInd w:val="0"/>
              <w:snapToGrid w:val="0"/>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17301768950</w:t>
            </w:r>
            <w:r>
              <w:rPr>
                <w:rFonts w:hint="eastAsia" w:ascii="仿宋" w:hAnsi="仿宋" w:eastAsia="仿宋" w:cs="仿宋"/>
                <w:color w:val="000000"/>
                <w:sz w:val="24"/>
                <w:szCs w:val="24"/>
              </w:rPr>
              <w:br w:type="textWrapping"/>
            </w:r>
            <w:r>
              <w:rPr>
                <w:rFonts w:hint="eastAsia" w:ascii="仿宋" w:hAnsi="仿宋" w:eastAsia="仿宋" w:cs="仿宋"/>
                <w:color w:val="000000"/>
                <w:sz w:val="24"/>
                <w:szCs w:val="24"/>
              </w:rPr>
              <w:t xml:space="preserve"> kspa@163.com</w:t>
            </w:r>
          </w:p>
        </w:tc>
      </w:tr>
      <w:tr w14:paraId="592C32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0" w:type="dxa"/>
            <w:vAlign w:val="center"/>
          </w:tcPr>
          <w:p w14:paraId="2707EFB7">
            <w:pPr>
              <w:keepNext w:val="0"/>
              <w:keepLines w:val="0"/>
              <w:pageBreakBefore w:val="0"/>
              <w:kinsoku/>
              <w:wordWrap/>
              <w:overflowPunct/>
              <w:topLinePunct w:val="0"/>
              <w:autoSpaceDE/>
              <w:autoSpaceDN/>
              <w:bidi w:val="0"/>
              <w:adjustRightInd w:val="0"/>
              <w:snapToGrid w:val="0"/>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w:t>
            </w:r>
          </w:p>
        </w:tc>
        <w:tc>
          <w:tcPr>
            <w:tcW w:w="1343" w:type="dxa"/>
            <w:tcBorders>
              <w:top w:val="single" w:color="auto" w:sz="4" w:space="0"/>
              <w:left w:val="single" w:color="auto" w:sz="4" w:space="0"/>
              <w:bottom w:val="single" w:color="auto" w:sz="4" w:space="0"/>
              <w:right w:val="single" w:color="auto" w:sz="4" w:space="0"/>
            </w:tcBorders>
            <w:shd w:val="clear" w:color="auto" w:fill="auto"/>
            <w:vAlign w:val="center"/>
          </w:tcPr>
          <w:p w14:paraId="10C86858">
            <w:pPr>
              <w:keepNext w:val="0"/>
              <w:keepLines w:val="0"/>
              <w:pageBreakBefore w:val="0"/>
              <w:widowControl/>
              <w:kinsoku/>
              <w:wordWrap/>
              <w:overflowPunct/>
              <w:topLinePunct w:val="0"/>
              <w:autoSpaceDE/>
              <w:autoSpaceDN/>
              <w:bidi w:val="0"/>
              <w:adjustRightInd w:val="0"/>
              <w:snapToGrid w:val="0"/>
              <w:jc w:val="both"/>
              <w:textAlignment w:val="auto"/>
              <w:rPr>
                <w:rFonts w:hint="eastAsia" w:ascii="仿宋" w:hAnsi="仿宋" w:eastAsia="仿宋" w:cs="仿宋"/>
                <w:color w:val="000000"/>
                <w:sz w:val="24"/>
                <w:szCs w:val="24"/>
              </w:rPr>
            </w:pPr>
            <w:r>
              <w:rPr>
                <w:rFonts w:hint="eastAsia" w:ascii="仿宋" w:hAnsi="仿宋" w:eastAsia="仿宋" w:cs="仿宋"/>
                <w:i w:val="0"/>
                <w:iCs w:val="0"/>
                <w:caps w:val="0"/>
                <w:color w:val="auto"/>
                <w:spacing w:val="0"/>
                <w:sz w:val="24"/>
                <w:szCs w:val="24"/>
                <w:shd w:val="clear" w:fill="FFFFFF"/>
                <w:lang w:val="en-US" w:eastAsia="zh-CN"/>
              </w:rPr>
              <w:t>上海唯智赢专利代理事务所（普通合伙）</w:t>
            </w:r>
          </w:p>
        </w:tc>
        <w:tc>
          <w:tcPr>
            <w:tcW w:w="2302" w:type="dxa"/>
            <w:tcBorders>
              <w:top w:val="single" w:color="auto" w:sz="4" w:space="0"/>
              <w:left w:val="nil"/>
              <w:bottom w:val="single" w:color="auto" w:sz="4" w:space="0"/>
              <w:right w:val="single" w:color="auto" w:sz="4" w:space="0"/>
            </w:tcBorders>
            <w:shd w:val="clear" w:color="auto" w:fill="auto"/>
            <w:vAlign w:val="center"/>
          </w:tcPr>
          <w:p w14:paraId="2AB737E3">
            <w:pPr>
              <w:keepNext w:val="0"/>
              <w:keepLines w:val="0"/>
              <w:pageBreakBefore w:val="0"/>
              <w:kinsoku/>
              <w:wordWrap/>
              <w:overflowPunct/>
              <w:topLinePunct w:val="0"/>
              <w:autoSpaceDE/>
              <w:autoSpaceDN/>
              <w:bidi w:val="0"/>
              <w:adjustRightInd w:val="0"/>
              <w:snapToGrid w:val="0"/>
              <w:jc w:val="both"/>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机械、建筑、船舶、汽车、电子、电气、软件、人工智能、材料等</w:t>
            </w:r>
          </w:p>
        </w:tc>
        <w:tc>
          <w:tcPr>
            <w:tcW w:w="1206" w:type="dxa"/>
            <w:tcBorders>
              <w:top w:val="single" w:color="auto" w:sz="4" w:space="0"/>
              <w:left w:val="nil"/>
              <w:bottom w:val="single" w:color="auto" w:sz="4" w:space="0"/>
              <w:right w:val="single" w:color="auto" w:sz="4" w:space="0"/>
            </w:tcBorders>
            <w:shd w:val="clear" w:color="auto" w:fill="auto"/>
            <w:vAlign w:val="center"/>
          </w:tcPr>
          <w:p w14:paraId="21CA8CEC">
            <w:pPr>
              <w:keepNext w:val="0"/>
              <w:keepLines w:val="0"/>
              <w:pageBreakBefore w:val="0"/>
              <w:kinsoku/>
              <w:wordWrap/>
              <w:overflowPunct/>
              <w:topLinePunct w:val="0"/>
              <w:autoSpaceDE/>
              <w:autoSpaceDN/>
              <w:bidi w:val="0"/>
              <w:adjustRightInd w:val="0"/>
              <w:snapToGrid w:val="0"/>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吴瑾瑜</w:t>
            </w:r>
          </w:p>
          <w:p w14:paraId="2898E1B6">
            <w:pPr>
              <w:keepNext w:val="0"/>
              <w:keepLines w:val="0"/>
              <w:pageBreakBefore w:val="0"/>
              <w:kinsoku/>
              <w:wordWrap/>
              <w:overflowPunct/>
              <w:topLinePunct w:val="0"/>
              <w:autoSpaceDE/>
              <w:autoSpaceDN/>
              <w:bidi w:val="0"/>
              <w:adjustRightInd w:val="0"/>
              <w:snapToGrid w:val="0"/>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张瑛</w:t>
            </w:r>
          </w:p>
        </w:tc>
        <w:tc>
          <w:tcPr>
            <w:tcW w:w="3088" w:type="dxa"/>
            <w:tcBorders>
              <w:top w:val="single" w:color="auto" w:sz="4" w:space="0"/>
              <w:left w:val="nil"/>
              <w:bottom w:val="single" w:color="auto" w:sz="4" w:space="0"/>
              <w:right w:val="single" w:color="auto" w:sz="4" w:space="0"/>
            </w:tcBorders>
            <w:shd w:val="clear" w:color="auto" w:fill="auto"/>
            <w:vAlign w:val="center"/>
          </w:tcPr>
          <w:p w14:paraId="23E32773">
            <w:pPr>
              <w:keepNext w:val="0"/>
              <w:keepLines w:val="0"/>
              <w:pageBreakBefore w:val="0"/>
              <w:kinsoku/>
              <w:wordWrap/>
              <w:overflowPunct/>
              <w:topLinePunct w:val="0"/>
              <w:autoSpaceDE/>
              <w:autoSpaceDN/>
              <w:bidi w:val="0"/>
              <w:adjustRightInd w:val="0"/>
              <w:snapToGrid w:val="0"/>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吴瑾瑜</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17717631629，wjy@witswin.cn</w:t>
            </w:r>
          </w:p>
          <w:p w14:paraId="48C5546A">
            <w:pPr>
              <w:keepNext w:val="0"/>
              <w:keepLines w:val="0"/>
              <w:pageBreakBefore w:val="0"/>
              <w:kinsoku/>
              <w:wordWrap/>
              <w:overflowPunct/>
              <w:topLinePunct w:val="0"/>
              <w:autoSpaceDE/>
              <w:autoSpaceDN/>
              <w:bidi w:val="0"/>
              <w:adjustRightInd w:val="0"/>
              <w:snapToGrid w:val="0"/>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张瑛</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17621779365，iriszhang@witswin.cn</w:t>
            </w:r>
          </w:p>
        </w:tc>
      </w:tr>
      <w:tr w14:paraId="0A1B10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0" w:type="dxa"/>
            <w:vAlign w:val="center"/>
          </w:tcPr>
          <w:p w14:paraId="68BDFE04">
            <w:pPr>
              <w:keepNext w:val="0"/>
              <w:keepLines w:val="0"/>
              <w:pageBreakBefore w:val="0"/>
              <w:kinsoku/>
              <w:wordWrap/>
              <w:overflowPunct/>
              <w:topLinePunct w:val="0"/>
              <w:autoSpaceDE/>
              <w:autoSpaceDN/>
              <w:bidi w:val="0"/>
              <w:adjustRightInd w:val="0"/>
              <w:snapToGrid w:val="0"/>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4</w:t>
            </w:r>
          </w:p>
        </w:tc>
        <w:tc>
          <w:tcPr>
            <w:tcW w:w="1343" w:type="dxa"/>
            <w:tcBorders>
              <w:top w:val="single" w:color="auto" w:sz="4" w:space="0"/>
              <w:left w:val="single" w:color="auto" w:sz="4" w:space="0"/>
              <w:bottom w:val="single" w:color="auto" w:sz="4" w:space="0"/>
              <w:right w:val="single" w:color="auto" w:sz="4" w:space="0"/>
            </w:tcBorders>
            <w:shd w:val="clear" w:color="auto" w:fill="auto"/>
            <w:vAlign w:val="center"/>
          </w:tcPr>
          <w:p w14:paraId="110973E7">
            <w:pPr>
              <w:keepNext w:val="0"/>
              <w:keepLines w:val="0"/>
              <w:pageBreakBefore w:val="0"/>
              <w:widowControl/>
              <w:kinsoku/>
              <w:wordWrap/>
              <w:overflowPunct/>
              <w:topLinePunct w:val="0"/>
              <w:autoSpaceDE/>
              <w:autoSpaceDN/>
              <w:bidi w:val="0"/>
              <w:adjustRightInd w:val="0"/>
              <w:snapToGrid w:val="0"/>
              <w:jc w:val="both"/>
              <w:textAlignment w:val="auto"/>
              <w:rPr>
                <w:rFonts w:hint="eastAsia" w:ascii="仿宋" w:hAnsi="仿宋" w:eastAsia="仿宋" w:cs="仿宋"/>
                <w:color w:val="000000"/>
                <w:sz w:val="24"/>
                <w:szCs w:val="24"/>
              </w:rPr>
            </w:pPr>
            <w:r>
              <w:rPr>
                <w:rFonts w:hint="eastAsia" w:ascii="仿宋" w:hAnsi="仿宋" w:eastAsia="仿宋" w:cs="仿宋"/>
                <w:i w:val="0"/>
                <w:iCs w:val="0"/>
                <w:caps w:val="0"/>
                <w:color w:val="auto"/>
                <w:spacing w:val="0"/>
                <w:sz w:val="24"/>
                <w:szCs w:val="24"/>
                <w:shd w:val="clear" w:fill="FFFFFF"/>
                <w:lang w:val="en-US" w:eastAsia="zh-CN"/>
              </w:rPr>
              <w:t>上海诺衣知识产权代理事务所（普通合伙）</w:t>
            </w:r>
          </w:p>
        </w:tc>
        <w:tc>
          <w:tcPr>
            <w:tcW w:w="2302" w:type="dxa"/>
            <w:tcBorders>
              <w:top w:val="single" w:color="auto" w:sz="4" w:space="0"/>
              <w:left w:val="nil"/>
              <w:bottom w:val="single" w:color="auto" w:sz="4" w:space="0"/>
              <w:right w:val="single" w:color="auto" w:sz="4" w:space="0"/>
            </w:tcBorders>
            <w:shd w:val="clear" w:color="auto" w:fill="auto"/>
            <w:vAlign w:val="center"/>
          </w:tcPr>
          <w:p w14:paraId="3BFA8678">
            <w:pPr>
              <w:keepNext w:val="0"/>
              <w:keepLines w:val="0"/>
              <w:pageBreakBefore w:val="0"/>
              <w:kinsoku/>
              <w:wordWrap/>
              <w:overflowPunct/>
              <w:topLinePunct w:val="0"/>
              <w:autoSpaceDE/>
              <w:autoSpaceDN/>
              <w:bidi w:val="0"/>
              <w:adjustRightInd w:val="0"/>
              <w:snapToGrid w:val="0"/>
              <w:jc w:val="both"/>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电子信息（软件、数据/信号处理方法）、环境工程（水处理）、机械及其自动化（机械及控制方法）、材料、化学</w:t>
            </w:r>
          </w:p>
        </w:tc>
        <w:tc>
          <w:tcPr>
            <w:tcW w:w="1206" w:type="dxa"/>
            <w:tcBorders>
              <w:top w:val="single" w:color="auto" w:sz="4" w:space="0"/>
              <w:left w:val="nil"/>
              <w:bottom w:val="single" w:color="auto" w:sz="4" w:space="0"/>
              <w:right w:val="single" w:color="auto" w:sz="4" w:space="0"/>
            </w:tcBorders>
            <w:shd w:val="clear" w:color="auto" w:fill="auto"/>
            <w:vAlign w:val="center"/>
          </w:tcPr>
          <w:p w14:paraId="008AF18D">
            <w:pPr>
              <w:keepNext w:val="0"/>
              <w:keepLines w:val="0"/>
              <w:pageBreakBefore w:val="0"/>
              <w:kinsoku/>
              <w:wordWrap/>
              <w:overflowPunct/>
              <w:topLinePunct w:val="0"/>
              <w:autoSpaceDE/>
              <w:autoSpaceDN/>
              <w:bidi w:val="0"/>
              <w:adjustRightInd w:val="0"/>
              <w:snapToGrid w:val="0"/>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衣然</w:t>
            </w:r>
          </w:p>
        </w:tc>
        <w:tc>
          <w:tcPr>
            <w:tcW w:w="3088" w:type="dxa"/>
            <w:tcBorders>
              <w:top w:val="single" w:color="auto" w:sz="4" w:space="0"/>
              <w:left w:val="nil"/>
              <w:bottom w:val="single" w:color="auto" w:sz="4" w:space="0"/>
              <w:right w:val="single" w:color="auto" w:sz="4" w:space="0"/>
            </w:tcBorders>
            <w:shd w:val="clear" w:color="auto" w:fill="auto"/>
            <w:vAlign w:val="center"/>
          </w:tcPr>
          <w:p w14:paraId="63504DDB">
            <w:pPr>
              <w:keepNext w:val="0"/>
              <w:keepLines w:val="0"/>
              <w:pageBreakBefore w:val="0"/>
              <w:kinsoku/>
              <w:wordWrap/>
              <w:overflowPunct/>
              <w:topLinePunct w:val="0"/>
              <w:autoSpaceDE/>
              <w:autoSpaceDN/>
              <w:bidi w:val="0"/>
              <w:adjustRightInd w:val="0"/>
              <w:snapToGrid w:val="0"/>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13681831813，nuoyi@nuoyiip.com</w:t>
            </w:r>
          </w:p>
        </w:tc>
      </w:tr>
      <w:tr w14:paraId="2B2AB2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0" w:type="dxa"/>
            <w:vAlign w:val="center"/>
          </w:tcPr>
          <w:p w14:paraId="08FACFCA">
            <w:pPr>
              <w:keepNext w:val="0"/>
              <w:keepLines w:val="0"/>
              <w:pageBreakBefore w:val="0"/>
              <w:kinsoku/>
              <w:wordWrap/>
              <w:overflowPunct/>
              <w:topLinePunct w:val="0"/>
              <w:autoSpaceDE/>
              <w:autoSpaceDN/>
              <w:bidi w:val="0"/>
              <w:adjustRightInd w:val="0"/>
              <w:snapToGrid w:val="0"/>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5</w:t>
            </w:r>
          </w:p>
        </w:tc>
        <w:tc>
          <w:tcPr>
            <w:tcW w:w="1343" w:type="dxa"/>
            <w:tcBorders>
              <w:top w:val="single" w:color="auto" w:sz="4" w:space="0"/>
              <w:left w:val="single" w:color="auto" w:sz="4" w:space="0"/>
              <w:bottom w:val="single" w:color="auto" w:sz="4" w:space="0"/>
              <w:right w:val="single" w:color="auto" w:sz="4" w:space="0"/>
            </w:tcBorders>
            <w:shd w:val="clear" w:color="auto" w:fill="auto"/>
            <w:vAlign w:val="center"/>
          </w:tcPr>
          <w:p w14:paraId="60B4051B">
            <w:pPr>
              <w:keepNext w:val="0"/>
              <w:keepLines w:val="0"/>
              <w:pageBreakBefore w:val="0"/>
              <w:widowControl/>
              <w:kinsoku/>
              <w:wordWrap/>
              <w:overflowPunct/>
              <w:topLinePunct w:val="0"/>
              <w:autoSpaceDE/>
              <w:autoSpaceDN/>
              <w:bidi w:val="0"/>
              <w:adjustRightInd w:val="0"/>
              <w:snapToGrid w:val="0"/>
              <w:jc w:val="both"/>
              <w:textAlignment w:val="auto"/>
              <w:rPr>
                <w:rFonts w:hint="eastAsia" w:ascii="仿宋" w:hAnsi="仿宋" w:eastAsia="仿宋" w:cs="仿宋"/>
                <w:color w:val="000000"/>
                <w:sz w:val="24"/>
                <w:szCs w:val="24"/>
              </w:rPr>
            </w:pPr>
            <w:r>
              <w:rPr>
                <w:rFonts w:hint="eastAsia" w:ascii="仿宋" w:hAnsi="仿宋" w:eastAsia="仿宋" w:cs="仿宋"/>
                <w:i w:val="0"/>
                <w:iCs w:val="0"/>
                <w:caps w:val="0"/>
                <w:color w:val="auto"/>
                <w:spacing w:val="0"/>
                <w:sz w:val="24"/>
                <w:szCs w:val="24"/>
                <w:shd w:val="clear" w:fill="FFFFFF"/>
                <w:lang w:val="en-US" w:eastAsia="zh-CN"/>
              </w:rPr>
              <w:t>上海邦德专利代理事务所（普通合伙）</w:t>
            </w:r>
          </w:p>
        </w:tc>
        <w:tc>
          <w:tcPr>
            <w:tcW w:w="2302" w:type="dxa"/>
            <w:tcBorders>
              <w:top w:val="single" w:color="auto" w:sz="4" w:space="0"/>
              <w:left w:val="nil"/>
              <w:bottom w:val="single" w:color="auto" w:sz="4" w:space="0"/>
              <w:right w:val="single" w:color="auto" w:sz="4" w:space="0"/>
            </w:tcBorders>
            <w:shd w:val="clear" w:color="auto" w:fill="auto"/>
            <w:vAlign w:val="center"/>
          </w:tcPr>
          <w:p w14:paraId="7F34810D">
            <w:pPr>
              <w:keepNext w:val="0"/>
              <w:keepLines w:val="0"/>
              <w:pageBreakBefore w:val="0"/>
              <w:kinsoku/>
              <w:wordWrap/>
              <w:overflowPunct/>
              <w:topLinePunct w:val="0"/>
              <w:autoSpaceDE/>
              <w:autoSpaceDN/>
              <w:bidi w:val="0"/>
              <w:adjustRightInd w:val="0"/>
              <w:snapToGrid w:val="0"/>
              <w:jc w:val="both"/>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电学、计算机</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机械、光电</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化学</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生物</w:t>
            </w:r>
          </w:p>
        </w:tc>
        <w:tc>
          <w:tcPr>
            <w:tcW w:w="1206" w:type="dxa"/>
            <w:tcBorders>
              <w:top w:val="single" w:color="auto" w:sz="4" w:space="0"/>
              <w:left w:val="nil"/>
              <w:bottom w:val="single" w:color="auto" w:sz="4" w:space="0"/>
              <w:right w:val="single" w:color="auto" w:sz="4" w:space="0"/>
            </w:tcBorders>
            <w:shd w:val="clear" w:color="auto" w:fill="auto"/>
            <w:vAlign w:val="center"/>
          </w:tcPr>
          <w:p w14:paraId="48CED8A2">
            <w:pPr>
              <w:keepNext w:val="0"/>
              <w:keepLines w:val="0"/>
              <w:pageBreakBefore w:val="0"/>
              <w:kinsoku/>
              <w:wordWrap/>
              <w:overflowPunct/>
              <w:topLinePunct w:val="0"/>
              <w:autoSpaceDE/>
              <w:autoSpaceDN/>
              <w:bidi w:val="0"/>
              <w:adjustRightInd w:val="0"/>
              <w:snapToGrid w:val="0"/>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龚万里</w:t>
            </w:r>
          </w:p>
        </w:tc>
        <w:tc>
          <w:tcPr>
            <w:tcW w:w="3088" w:type="dxa"/>
            <w:tcBorders>
              <w:top w:val="single" w:color="auto" w:sz="4" w:space="0"/>
              <w:left w:val="nil"/>
              <w:bottom w:val="single" w:color="auto" w:sz="4" w:space="0"/>
              <w:right w:val="single" w:color="auto" w:sz="4" w:space="0"/>
            </w:tcBorders>
            <w:shd w:val="clear" w:color="auto" w:fill="auto"/>
            <w:vAlign w:val="center"/>
          </w:tcPr>
          <w:p w14:paraId="4C688ADA">
            <w:pPr>
              <w:keepNext w:val="0"/>
              <w:keepLines w:val="0"/>
              <w:pageBreakBefore w:val="0"/>
              <w:kinsoku/>
              <w:wordWrap/>
              <w:overflowPunct/>
              <w:topLinePunct w:val="0"/>
              <w:autoSpaceDE/>
              <w:autoSpaceDN/>
              <w:bidi w:val="0"/>
              <w:adjustRightInd w:val="0"/>
              <w:snapToGrid w:val="0"/>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18321854583</w:t>
            </w:r>
            <w:r>
              <w:rPr>
                <w:rFonts w:hint="eastAsia" w:ascii="仿宋" w:hAnsi="仿宋" w:eastAsia="仿宋" w:cs="仿宋"/>
                <w:color w:val="000000"/>
                <w:sz w:val="24"/>
                <w:szCs w:val="24"/>
              </w:rPr>
              <w:br w:type="textWrapping"/>
            </w:r>
            <w:r>
              <w:rPr>
                <w:rFonts w:hint="eastAsia" w:ascii="仿宋" w:hAnsi="仿宋" w:eastAsia="仿宋" w:cs="仿宋"/>
                <w:color w:val="000000"/>
                <w:sz w:val="24"/>
                <w:szCs w:val="24"/>
              </w:rPr>
              <w:t>gongwanli@bangde.net.cn</w:t>
            </w:r>
          </w:p>
        </w:tc>
      </w:tr>
      <w:tr w14:paraId="1DB822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jc w:val="center"/>
        </w:trPr>
        <w:tc>
          <w:tcPr>
            <w:tcW w:w="800" w:type="dxa"/>
            <w:vAlign w:val="center"/>
          </w:tcPr>
          <w:p w14:paraId="25CCF3D8">
            <w:pPr>
              <w:keepNext w:val="0"/>
              <w:keepLines w:val="0"/>
              <w:pageBreakBefore w:val="0"/>
              <w:kinsoku/>
              <w:wordWrap/>
              <w:overflowPunct/>
              <w:topLinePunct w:val="0"/>
              <w:autoSpaceDE/>
              <w:autoSpaceDN/>
              <w:bidi w:val="0"/>
              <w:adjustRightInd w:val="0"/>
              <w:snapToGrid w:val="0"/>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6</w:t>
            </w:r>
          </w:p>
        </w:tc>
        <w:tc>
          <w:tcPr>
            <w:tcW w:w="1343" w:type="dxa"/>
            <w:tcBorders>
              <w:top w:val="single" w:color="auto" w:sz="4" w:space="0"/>
              <w:left w:val="single" w:color="auto" w:sz="4" w:space="0"/>
              <w:bottom w:val="single" w:color="auto" w:sz="4" w:space="0"/>
              <w:right w:val="single" w:color="auto" w:sz="4" w:space="0"/>
            </w:tcBorders>
            <w:shd w:val="clear" w:color="auto" w:fill="auto"/>
            <w:vAlign w:val="center"/>
          </w:tcPr>
          <w:p w14:paraId="1AEE7CF3">
            <w:pPr>
              <w:keepNext w:val="0"/>
              <w:keepLines w:val="0"/>
              <w:pageBreakBefore w:val="0"/>
              <w:widowControl/>
              <w:kinsoku/>
              <w:wordWrap/>
              <w:overflowPunct/>
              <w:topLinePunct w:val="0"/>
              <w:autoSpaceDE/>
              <w:autoSpaceDN/>
              <w:bidi w:val="0"/>
              <w:adjustRightInd w:val="0"/>
              <w:snapToGrid w:val="0"/>
              <w:jc w:val="both"/>
              <w:textAlignment w:val="auto"/>
              <w:rPr>
                <w:rFonts w:hint="eastAsia" w:ascii="仿宋" w:hAnsi="仿宋" w:eastAsia="仿宋" w:cs="仿宋"/>
                <w:color w:val="000000"/>
                <w:sz w:val="24"/>
                <w:szCs w:val="24"/>
              </w:rPr>
            </w:pPr>
            <w:r>
              <w:rPr>
                <w:rFonts w:hint="eastAsia" w:ascii="仿宋" w:hAnsi="仿宋" w:eastAsia="仿宋" w:cs="仿宋"/>
                <w:i w:val="0"/>
                <w:iCs w:val="0"/>
                <w:caps w:val="0"/>
                <w:color w:val="auto"/>
                <w:spacing w:val="0"/>
                <w:sz w:val="24"/>
                <w:szCs w:val="24"/>
                <w:shd w:val="clear" w:fill="FFFFFF"/>
                <w:lang w:val="en-US" w:eastAsia="zh-CN"/>
              </w:rPr>
              <w:t>上海伯瑞杰知识产权代理有限公司</w:t>
            </w:r>
          </w:p>
        </w:tc>
        <w:tc>
          <w:tcPr>
            <w:tcW w:w="2302" w:type="dxa"/>
            <w:tcBorders>
              <w:top w:val="single" w:color="auto" w:sz="4" w:space="0"/>
              <w:left w:val="nil"/>
              <w:bottom w:val="single" w:color="auto" w:sz="4" w:space="0"/>
              <w:right w:val="single" w:color="auto" w:sz="4" w:space="0"/>
            </w:tcBorders>
            <w:shd w:val="clear" w:color="auto" w:fill="auto"/>
            <w:vAlign w:val="center"/>
          </w:tcPr>
          <w:p w14:paraId="163EC837">
            <w:pPr>
              <w:keepNext w:val="0"/>
              <w:keepLines w:val="0"/>
              <w:pageBreakBefore w:val="0"/>
              <w:kinsoku/>
              <w:wordWrap/>
              <w:overflowPunct/>
              <w:topLinePunct w:val="0"/>
              <w:autoSpaceDE/>
              <w:autoSpaceDN/>
              <w:bidi w:val="0"/>
              <w:adjustRightInd w:val="0"/>
              <w:snapToGrid w:val="0"/>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计算机、信息技术、机械、电子、材料</w:t>
            </w:r>
          </w:p>
        </w:tc>
        <w:tc>
          <w:tcPr>
            <w:tcW w:w="1206" w:type="dxa"/>
            <w:tcBorders>
              <w:top w:val="single" w:color="auto" w:sz="4" w:space="0"/>
              <w:left w:val="nil"/>
              <w:bottom w:val="single" w:color="auto" w:sz="4" w:space="0"/>
              <w:right w:val="single" w:color="auto" w:sz="4" w:space="0"/>
            </w:tcBorders>
            <w:shd w:val="clear" w:color="auto" w:fill="auto"/>
            <w:vAlign w:val="center"/>
          </w:tcPr>
          <w:p w14:paraId="2620A29F">
            <w:pPr>
              <w:keepNext w:val="0"/>
              <w:keepLines w:val="0"/>
              <w:pageBreakBefore w:val="0"/>
              <w:kinsoku/>
              <w:wordWrap/>
              <w:overflowPunct/>
              <w:topLinePunct w:val="0"/>
              <w:autoSpaceDE/>
              <w:autoSpaceDN/>
              <w:bidi w:val="0"/>
              <w:adjustRightInd w:val="0"/>
              <w:snapToGrid w:val="0"/>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曹莉</w:t>
            </w:r>
          </w:p>
        </w:tc>
        <w:tc>
          <w:tcPr>
            <w:tcW w:w="3088" w:type="dxa"/>
            <w:tcBorders>
              <w:top w:val="single" w:color="auto" w:sz="4" w:space="0"/>
              <w:left w:val="nil"/>
              <w:bottom w:val="single" w:color="auto" w:sz="4" w:space="0"/>
              <w:right w:val="single" w:color="auto" w:sz="4" w:space="0"/>
            </w:tcBorders>
            <w:shd w:val="clear" w:color="auto" w:fill="auto"/>
            <w:vAlign w:val="center"/>
          </w:tcPr>
          <w:p w14:paraId="4EA969D7">
            <w:pPr>
              <w:keepNext w:val="0"/>
              <w:keepLines w:val="0"/>
              <w:pageBreakBefore w:val="0"/>
              <w:kinsoku/>
              <w:wordWrap/>
              <w:overflowPunct/>
              <w:topLinePunct w:val="0"/>
              <w:autoSpaceDE/>
              <w:autoSpaceDN/>
              <w:bidi w:val="0"/>
              <w:adjustRightInd w:val="0"/>
              <w:snapToGrid w:val="0"/>
              <w:jc w:val="center"/>
              <w:textAlignment w:val="auto"/>
              <w:rPr>
                <w:rFonts w:hint="eastAsia" w:ascii="仿宋" w:hAnsi="仿宋" w:eastAsia="仿宋" w:cs="仿宋"/>
                <w:color w:val="000000"/>
                <w:sz w:val="24"/>
                <w:szCs w:val="24"/>
                <w:lang w:eastAsia="zh-CN"/>
              </w:rPr>
            </w:pPr>
            <w:r>
              <w:rPr>
                <w:rFonts w:hint="eastAsia" w:ascii="仿宋" w:hAnsi="仿宋" w:eastAsia="仿宋" w:cs="仿宋"/>
                <w:color w:val="000000"/>
                <w:sz w:val="24"/>
                <w:szCs w:val="24"/>
              </w:rPr>
              <w:t>17721144359</w:t>
            </w:r>
            <w:r>
              <w:rPr>
                <w:rFonts w:hint="eastAsia" w:ascii="仿宋" w:hAnsi="仿宋" w:eastAsia="仿宋" w:cs="仿宋"/>
                <w:color w:val="000000"/>
                <w:sz w:val="24"/>
                <w:szCs w:val="24"/>
                <w:lang w:eastAsia="zh-CN"/>
              </w:rPr>
              <w:t>、</w:t>
            </w:r>
          </w:p>
          <w:p w14:paraId="135C3F99">
            <w:pPr>
              <w:keepNext w:val="0"/>
              <w:keepLines w:val="0"/>
              <w:pageBreakBefore w:val="0"/>
              <w:kinsoku/>
              <w:wordWrap/>
              <w:overflowPunct/>
              <w:topLinePunct w:val="0"/>
              <w:autoSpaceDE/>
              <w:autoSpaceDN/>
              <w:bidi w:val="0"/>
              <w:adjustRightInd w:val="0"/>
              <w:snapToGrid w:val="0"/>
              <w:jc w:val="center"/>
              <w:textAlignment w:val="auto"/>
              <w:rPr>
                <w:rFonts w:hint="eastAsia" w:ascii="仿宋" w:hAnsi="仿宋" w:eastAsia="仿宋" w:cs="仿宋"/>
                <w:color w:val="000000"/>
                <w:sz w:val="24"/>
                <w:szCs w:val="24"/>
                <w:lang w:eastAsia="zh-CN"/>
              </w:rPr>
            </w:pPr>
            <w:r>
              <w:rPr>
                <w:rFonts w:hint="eastAsia" w:ascii="仿宋" w:hAnsi="仿宋" w:eastAsia="仿宋" w:cs="仿宋"/>
                <w:color w:val="000000"/>
                <w:sz w:val="24"/>
                <w:szCs w:val="24"/>
              </w:rPr>
              <w:t>64694553-816</w:t>
            </w:r>
            <w:r>
              <w:rPr>
                <w:rFonts w:hint="eastAsia" w:ascii="仿宋" w:hAnsi="仿宋" w:eastAsia="仿宋" w:cs="仿宋"/>
                <w:color w:val="000000"/>
                <w:sz w:val="24"/>
                <w:szCs w:val="24"/>
                <w:lang w:eastAsia="zh-CN"/>
              </w:rPr>
              <w:t>，</w:t>
            </w:r>
          </w:p>
          <w:p w14:paraId="18627016">
            <w:pPr>
              <w:keepNext w:val="0"/>
              <w:keepLines w:val="0"/>
              <w:pageBreakBefore w:val="0"/>
              <w:kinsoku/>
              <w:wordWrap/>
              <w:overflowPunct/>
              <w:topLinePunct w:val="0"/>
              <w:autoSpaceDE/>
              <w:autoSpaceDN/>
              <w:bidi w:val="0"/>
              <w:adjustRightInd w:val="0"/>
              <w:snapToGrid w:val="0"/>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cl@shbrg.com</w:t>
            </w:r>
          </w:p>
        </w:tc>
      </w:tr>
      <w:bookmarkEnd w:id="0"/>
    </w:tbl>
    <w:p w14:paraId="297638CF">
      <w:pPr>
        <w:keepNext w:val="0"/>
        <w:keepLines w:val="0"/>
        <w:pageBreakBefore w:val="0"/>
        <w:widowControl w:val="0"/>
        <w:kinsoku/>
        <w:wordWrap/>
        <w:overflowPunct/>
        <w:topLinePunct w:val="0"/>
        <w:autoSpaceDE/>
        <w:autoSpaceDN/>
        <w:bidi w:val="0"/>
        <w:adjustRightInd/>
        <w:snapToGrid/>
        <w:spacing w:before="157" w:beforeLines="50" w:after="157" w:afterLines="50"/>
        <w:jc w:val="left"/>
        <w:textAlignment w:val="auto"/>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二、服务内容</w:t>
      </w:r>
      <w:r>
        <w:rPr>
          <w:rFonts w:hint="eastAsia" w:ascii="仿宋" w:hAnsi="仿宋" w:eastAsia="仿宋" w:cs="仿宋"/>
          <w:b w:val="0"/>
          <w:bCs w:val="0"/>
          <w:sz w:val="28"/>
          <w:szCs w:val="28"/>
          <w:lang w:val="en-US" w:eastAsia="zh-CN"/>
        </w:rPr>
        <w:t>（国内发明专利、实用新型专利、外观设计、软件著作权等）</w:t>
      </w:r>
    </w:p>
    <w:tbl>
      <w:tblPr>
        <w:tblStyle w:val="5"/>
        <w:tblpPr w:leftFromText="180" w:rightFromText="180" w:vertAnchor="text" w:horzAnchor="page" w:tblpX="1892" w:tblpY="448"/>
        <w:tblOverlap w:val="never"/>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4"/>
        <w:gridCol w:w="3020"/>
        <w:gridCol w:w="4555"/>
      </w:tblGrid>
      <w:tr w14:paraId="1038F4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trPr>
        <w:tc>
          <w:tcPr>
            <w:tcW w:w="554" w:type="pct"/>
            <w:noWrap w:val="0"/>
            <w:vAlign w:val="center"/>
          </w:tcPr>
          <w:p w14:paraId="05C96C40">
            <w:pPr>
              <w:jc w:val="center"/>
              <w:rPr>
                <w:rFonts w:hint="eastAsia" w:ascii="仿宋" w:hAnsi="仿宋" w:eastAsia="仿宋" w:cs="仿宋"/>
                <w:b/>
                <w:bCs/>
                <w:color w:val="000000"/>
                <w:sz w:val="24"/>
                <w:szCs w:val="24"/>
                <w:highlight w:val="none"/>
              </w:rPr>
            </w:pPr>
          </w:p>
        </w:tc>
        <w:tc>
          <w:tcPr>
            <w:tcW w:w="1772" w:type="pct"/>
            <w:noWrap w:val="0"/>
            <w:vAlign w:val="center"/>
          </w:tcPr>
          <w:p w14:paraId="2E56DBE3">
            <w:pPr>
              <w:jc w:val="center"/>
              <w:rPr>
                <w:rFonts w:hint="eastAsia" w:ascii="仿宋" w:hAnsi="仿宋" w:eastAsia="仿宋" w:cs="仿宋"/>
                <w:b/>
                <w:bCs/>
                <w:color w:val="000000"/>
                <w:sz w:val="24"/>
                <w:szCs w:val="24"/>
                <w:highlight w:val="none"/>
              </w:rPr>
            </w:pPr>
            <w:r>
              <w:rPr>
                <w:rFonts w:hint="eastAsia" w:ascii="仿宋" w:hAnsi="仿宋" w:eastAsia="仿宋" w:cs="仿宋"/>
                <w:b/>
                <w:bCs/>
                <w:color w:val="000000"/>
                <w:sz w:val="24"/>
                <w:szCs w:val="24"/>
                <w:highlight w:val="none"/>
              </w:rPr>
              <w:t>服务内容</w:t>
            </w:r>
          </w:p>
        </w:tc>
        <w:tc>
          <w:tcPr>
            <w:tcW w:w="2673" w:type="pct"/>
            <w:noWrap w:val="0"/>
            <w:vAlign w:val="center"/>
          </w:tcPr>
          <w:p w14:paraId="7BAEDC68">
            <w:pPr>
              <w:jc w:val="center"/>
              <w:rPr>
                <w:rFonts w:hint="eastAsia" w:ascii="仿宋" w:hAnsi="仿宋" w:eastAsia="仿宋" w:cs="仿宋"/>
                <w:b/>
                <w:bCs/>
                <w:color w:val="000000"/>
                <w:sz w:val="24"/>
                <w:szCs w:val="24"/>
                <w:highlight w:val="none"/>
              </w:rPr>
            </w:pPr>
            <w:r>
              <w:rPr>
                <w:rFonts w:hint="eastAsia" w:ascii="仿宋" w:hAnsi="仿宋" w:eastAsia="仿宋" w:cs="仿宋"/>
                <w:b/>
                <w:bCs/>
                <w:color w:val="000000"/>
                <w:sz w:val="24"/>
                <w:szCs w:val="24"/>
                <w:highlight w:val="none"/>
              </w:rPr>
              <w:t>服务要求</w:t>
            </w:r>
          </w:p>
        </w:tc>
      </w:tr>
      <w:tr w14:paraId="315DF8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8" w:hRule="atLeast"/>
        </w:trPr>
        <w:tc>
          <w:tcPr>
            <w:tcW w:w="554" w:type="pct"/>
            <w:vMerge w:val="restart"/>
            <w:noWrap w:val="0"/>
            <w:textDirection w:val="tbRlV"/>
            <w:vAlign w:val="center"/>
          </w:tcPr>
          <w:p w14:paraId="4E75FF31">
            <w:pPr>
              <w:ind w:left="113" w:right="113"/>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专利申请实审阶段</w:t>
            </w:r>
          </w:p>
        </w:tc>
        <w:tc>
          <w:tcPr>
            <w:tcW w:w="1772" w:type="pct"/>
            <w:noWrap w:val="0"/>
            <w:vAlign w:val="center"/>
          </w:tcPr>
          <w:p w14:paraId="6A60D9E9">
            <w:pPr>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审阅、辅助撰写、修改专利技术交底书</w:t>
            </w:r>
          </w:p>
        </w:tc>
        <w:tc>
          <w:tcPr>
            <w:tcW w:w="2673" w:type="pct"/>
            <w:noWrap w:val="0"/>
            <w:vAlign w:val="center"/>
          </w:tcPr>
          <w:p w14:paraId="3F2D210E">
            <w:pPr>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确定代理委托后3个工作日内联系发明人，原则上10个工作日内与发明人确定定稿文件，最长不超过一个月</w:t>
            </w:r>
          </w:p>
        </w:tc>
      </w:tr>
      <w:tr w14:paraId="2817E6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4" w:hRule="atLeast"/>
        </w:trPr>
        <w:tc>
          <w:tcPr>
            <w:tcW w:w="554" w:type="pct"/>
            <w:vMerge w:val="continue"/>
            <w:noWrap w:val="0"/>
            <w:vAlign w:val="center"/>
          </w:tcPr>
          <w:p w14:paraId="5CE1E565">
            <w:pPr>
              <w:jc w:val="center"/>
              <w:rPr>
                <w:rFonts w:hint="eastAsia" w:ascii="仿宋" w:hAnsi="仿宋" w:eastAsia="仿宋" w:cs="仿宋"/>
                <w:color w:val="000000"/>
                <w:sz w:val="24"/>
                <w:szCs w:val="24"/>
                <w:highlight w:val="none"/>
              </w:rPr>
            </w:pPr>
          </w:p>
        </w:tc>
        <w:tc>
          <w:tcPr>
            <w:tcW w:w="1772" w:type="pct"/>
            <w:noWrap w:val="0"/>
            <w:vAlign w:val="center"/>
          </w:tcPr>
          <w:p w14:paraId="5651A8C7">
            <w:pPr>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代向国家知识产权局提交专利申请并提交实审请求</w:t>
            </w:r>
          </w:p>
        </w:tc>
        <w:tc>
          <w:tcPr>
            <w:tcW w:w="2673" w:type="pct"/>
            <w:noWrap w:val="0"/>
            <w:vAlign w:val="center"/>
          </w:tcPr>
          <w:p w14:paraId="3CDB6272">
            <w:pPr>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与发明人确认定稿文件后3个工作日内完成</w:t>
            </w:r>
          </w:p>
        </w:tc>
      </w:tr>
      <w:tr w14:paraId="570DA8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5" w:hRule="atLeast"/>
        </w:trPr>
        <w:tc>
          <w:tcPr>
            <w:tcW w:w="554" w:type="pct"/>
            <w:vMerge w:val="continue"/>
            <w:noWrap w:val="0"/>
            <w:vAlign w:val="center"/>
          </w:tcPr>
          <w:p w14:paraId="4F238BD5">
            <w:pPr>
              <w:jc w:val="center"/>
              <w:rPr>
                <w:rFonts w:hint="eastAsia" w:ascii="仿宋" w:hAnsi="仿宋" w:eastAsia="仿宋" w:cs="仿宋"/>
                <w:color w:val="000000"/>
                <w:sz w:val="24"/>
                <w:szCs w:val="24"/>
                <w:highlight w:val="none"/>
              </w:rPr>
            </w:pPr>
          </w:p>
        </w:tc>
        <w:tc>
          <w:tcPr>
            <w:tcW w:w="1772" w:type="pct"/>
            <w:noWrap w:val="0"/>
            <w:vAlign w:val="center"/>
          </w:tcPr>
          <w:p w14:paraId="2F375DFC">
            <w:pPr>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专利受理通知书、费用减缓审批通知书、发明专利请求书等纸质版文件邮寄至</w:t>
            </w:r>
            <w:r>
              <w:rPr>
                <w:rFonts w:hint="eastAsia" w:ascii="仿宋" w:hAnsi="仿宋" w:eastAsia="仿宋" w:cs="仿宋"/>
                <w:color w:val="000000"/>
                <w:sz w:val="24"/>
                <w:szCs w:val="24"/>
                <w:highlight w:val="none"/>
                <w:lang w:val="en-US" w:eastAsia="zh-CN"/>
              </w:rPr>
              <w:t>学校</w:t>
            </w:r>
            <w:r>
              <w:rPr>
                <w:rFonts w:hint="eastAsia" w:ascii="仿宋" w:hAnsi="仿宋" w:eastAsia="仿宋" w:cs="仿宋"/>
                <w:color w:val="000000"/>
                <w:sz w:val="24"/>
                <w:szCs w:val="24"/>
                <w:highlight w:val="none"/>
              </w:rPr>
              <w:t>，同时上传电子版文件。</w:t>
            </w:r>
          </w:p>
        </w:tc>
        <w:tc>
          <w:tcPr>
            <w:tcW w:w="2673" w:type="pct"/>
            <w:noWrap w:val="0"/>
            <w:vAlign w:val="center"/>
          </w:tcPr>
          <w:p w14:paraId="13D8E66C">
            <w:pPr>
              <w:jc w:val="left"/>
              <w:rPr>
                <w:rFonts w:hint="eastAsia" w:ascii="仿宋" w:hAnsi="仿宋" w:eastAsia="仿宋" w:cs="仿宋"/>
                <w:color w:val="000000"/>
                <w:sz w:val="24"/>
                <w:szCs w:val="24"/>
                <w:highlight w:val="none"/>
                <w:lang w:eastAsia="zh-CN"/>
              </w:rPr>
            </w:pPr>
            <w:r>
              <w:rPr>
                <w:rFonts w:hint="eastAsia" w:ascii="仿宋" w:hAnsi="仿宋" w:eastAsia="仿宋" w:cs="仿宋"/>
                <w:color w:val="000000"/>
                <w:sz w:val="24"/>
                <w:szCs w:val="24"/>
                <w:highlight w:val="none"/>
              </w:rPr>
              <w:t>自发文日起一个月内完成，每月定期寄送纸质版材料至</w:t>
            </w:r>
            <w:r>
              <w:rPr>
                <w:rFonts w:hint="eastAsia" w:ascii="仿宋" w:hAnsi="仿宋" w:eastAsia="仿宋" w:cs="仿宋"/>
                <w:color w:val="000000"/>
                <w:sz w:val="24"/>
                <w:szCs w:val="24"/>
                <w:highlight w:val="none"/>
                <w:lang w:val="en-US" w:eastAsia="zh-CN"/>
              </w:rPr>
              <w:t>学校</w:t>
            </w:r>
          </w:p>
        </w:tc>
      </w:tr>
      <w:tr w14:paraId="6C5DD5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54" w:type="pct"/>
            <w:vMerge w:val="continue"/>
            <w:noWrap w:val="0"/>
            <w:vAlign w:val="center"/>
          </w:tcPr>
          <w:p w14:paraId="6F7FABFC">
            <w:pPr>
              <w:jc w:val="center"/>
              <w:rPr>
                <w:rFonts w:hint="eastAsia" w:ascii="仿宋" w:hAnsi="仿宋" w:eastAsia="仿宋" w:cs="仿宋"/>
                <w:color w:val="000000"/>
                <w:sz w:val="24"/>
                <w:szCs w:val="24"/>
                <w:highlight w:val="none"/>
              </w:rPr>
            </w:pPr>
          </w:p>
        </w:tc>
        <w:tc>
          <w:tcPr>
            <w:tcW w:w="1772" w:type="pct"/>
            <w:noWrap w:val="0"/>
            <w:vAlign w:val="center"/>
          </w:tcPr>
          <w:p w14:paraId="1B041031">
            <w:pPr>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代缴申请阶段申请费、实审费等官费</w:t>
            </w:r>
          </w:p>
        </w:tc>
        <w:tc>
          <w:tcPr>
            <w:tcW w:w="2673" w:type="pct"/>
            <w:noWrap w:val="0"/>
            <w:vAlign w:val="center"/>
          </w:tcPr>
          <w:p w14:paraId="31DE15AB">
            <w:pPr>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自发文日起一个月内完成</w:t>
            </w:r>
          </w:p>
        </w:tc>
      </w:tr>
      <w:tr w14:paraId="17E061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9" w:hRule="atLeast"/>
        </w:trPr>
        <w:tc>
          <w:tcPr>
            <w:tcW w:w="554" w:type="pct"/>
            <w:vMerge w:val="continue"/>
            <w:noWrap w:val="0"/>
            <w:vAlign w:val="center"/>
          </w:tcPr>
          <w:p w14:paraId="0B137B77">
            <w:pPr>
              <w:jc w:val="center"/>
              <w:rPr>
                <w:rFonts w:hint="eastAsia" w:ascii="仿宋" w:hAnsi="仿宋" w:eastAsia="仿宋" w:cs="仿宋"/>
                <w:color w:val="000000"/>
                <w:sz w:val="24"/>
                <w:szCs w:val="24"/>
                <w:highlight w:val="none"/>
              </w:rPr>
            </w:pPr>
          </w:p>
        </w:tc>
        <w:tc>
          <w:tcPr>
            <w:tcW w:w="1772" w:type="pct"/>
            <w:noWrap w:val="0"/>
            <w:vAlign w:val="center"/>
          </w:tcPr>
          <w:p w14:paraId="5AF50815">
            <w:pPr>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提交答复专利的审查意见</w:t>
            </w:r>
          </w:p>
        </w:tc>
        <w:tc>
          <w:tcPr>
            <w:tcW w:w="2673" w:type="pct"/>
            <w:noWrap w:val="0"/>
            <w:vAlign w:val="center"/>
          </w:tcPr>
          <w:p w14:paraId="0D403CD7">
            <w:pPr>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自发文日一周内联系发明人，原则上在发明人提交答复建议15个工作日内答复，最迟不超过国知局规定的截止日期前7天。（如发明人在截止日期之前30个工作日还未答复，代理机构需根据实际情况多次提醒发明人答复）</w:t>
            </w:r>
          </w:p>
        </w:tc>
      </w:tr>
      <w:tr w14:paraId="6E6A7D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554" w:type="pct"/>
            <w:vMerge w:val="restart"/>
            <w:noWrap w:val="0"/>
            <w:textDirection w:val="tbRlV"/>
            <w:vAlign w:val="center"/>
          </w:tcPr>
          <w:p w14:paraId="64ACE446">
            <w:pPr>
              <w:ind w:left="113" w:right="113"/>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专利授权阶段</w:t>
            </w:r>
          </w:p>
        </w:tc>
        <w:tc>
          <w:tcPr>
            <w:tcW w:w="1772" w:type="pct"/>
            <w:noWrap w:val="0"/>
            <w:vAlign w:val="center"/>
          </w:tcPr>
          <w:p w14:paraId="11F2CE52">
            <w:pPr>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代缴办登费，并将办登通知书、授予专利权通知书等纸质文件邮寄至</w:t>
            </w:r>
            <w:r>
              <w:rPr>
                <w:rFonts w:hint="eastAsia" w:ascii="仿宋" w:hAnsi="仿宋" w:eastAsia="仿宋" w:cs="仿宋"/>
                <w:color w:val="000000"/>
                <w:sz w:val="24"/>
                <w:szCs w:val="24"/>
                <w:highlight w:val="none"/>
                <w:lang w:val="en-US" w:eastAsia="zh-CN"/>
              </w:rPr>
              <w:t>学校</w:t>
            </w:r>
            <w:r>
              <w:rPr>
                <w:rFonts w:hint="eastAsia" w:ascii="仿宋" w:hAnsi="仿宋" w:eastAsia="仿宋" w:cs="仿宋"/>
                <w:color w:val="000000"/>
                <w:sz w:val="24"/>
                <w:szCs w:val="24"/>
                <w:highlight w:val="none"/>
              </w:rPr>
              <w:t>，同时上传电子版文件</w:t>
            </w:r>
          </w:p>
        </w:tc>
        <w:tc>
          <w:tcPr>
            <w:tcW w:w="2673" w:type="pct"/>
            <w:noWrap w:val="0"/>
            <w:vAlign w:val="center"/>
          </w:tcPr>
          <w:p w14:paraId="252D5FF6">
            <w:pPr>
              <w:jc w:val="left"/>
              <w:rPr>
                <w:rFonts w:hint="eastAsia" w:ascii="仿宋" w:hAnsi="仿宋" w:eastAsia="仿宋" w:cs="仿宋"/>
                <w:color w:val="000000"/>
                <w:sz w:val="24"/>
                <w:szCs w:val="24"/>
                <w:highlight w:val="none"/>
                <w:lang w:eastAsia="zh-CN"/>
              </w:rPr>
            </w:pPr>
            <w:r>
              <w:rPr>
                <w:rFonts w:hint="eastAsia" w:ascii="仿宋" w:hAnsi="仿宋" w:eastAsia="仿宋" w:cs="仿宋"/>
                <w:color w:val="000000"/>
                <w:sz w:val="24"/>
                <w:szCs w:val="24"/>
                <w:highlight w:val="none"/>
              </w:rPr>
              <w:t>自发文日起一个月内完成，每月定期寄送纸质版材料至</w:t>
            </w:r>
            <w:r>
              <w:rPr>
                <w:rFonts w:hint="eastAsia" w:ascii="仿宋" w:hAnsi="仿宋" w:eastAsia="仿宋" w:cs="仿宋"/>
                <w:color w:val="000000"/>
                <w:sz w:val="24"/>
                <w:szCs w:val="24"/>
                <w:highlight w:val="none"/>
                <w:lang w:val="en-US" w:eastAsia="zh-CN"/>
              </w:rPr>
              <w:t>学校</w:t>
            </w:r>
          </w:p>
        </w:tc>
      </w:tr>
      <w:tr w14:paraId="36BB05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7" w:hRule="atLeast"/>
        </w:trPr>
        <w:tc>
          <w:tcPr>
            <w:tcW w:w="554" w:type="pct"/>
            <w:vMerge w:val="continue"/>
            <w:noWrap w:val="0"/>
            <w:vAlign w:val="center"/>
          </w:tcPr>
          <w:p w14:paraId="3C1050E3">
            <w:pPr>
              <w:jc w:val="center"/>
              <w:rPr>
                <w:rFonts w:hint="eastAsia" w:ascii="仿宋" w:hAnsi="仿宋" w:eastAsia="仿宋" w:cs="仿宋"/>
                <w:color w:val="000000"/>
                <w:sz w:val="24"/>
                <w:szCs w:val="24"/>
                <w:highlight w:val="none"/>
              </w:rPr>
            </w:pPr>
          </w:p>
        </w:tc>
        <w:tc>
          <w:tcPr>
            <w:tcW w:w="1772" w:type="pct"/>
            <w:noWrap w:val="0"/>
            <w:vAlign w:val="center"/>
          </w:tcPr>
          <w:p w14:paraId="4D5F9A1B">
            <w:pPr>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将授权专利证书纸质件邮寄至</w:t>
            </w:r>
            <w:r>
              <w:rPr>
                <w:rFonts w:hint="eastAsia" w:ascii="仿宋" w:hAnsi="仿宋" w:eastAsia="仿宋" w:cs="仿宋"/>
                <w:color w:val="000000"/>
                <w:sz w:val="24"/>
                <w:szCs w:val="24"/>
                <w:highlight w:val="none"/>
                <w:lang w:val="en-US" w:eastAsia="zh-CN"/>
              </w:rPr>
              <w:t>学校</w:t>
            </w:r>
            <w:r>
              <w:rPr>
                <w:rFonts w:hint="eastAsia" w:ascii="仿宋" w:hAnsi="仿宋" w:eastAsia="仿宋" w:cs="仿宋"/>
                <w:color w:val="000000"/>
                <w:sz w:val="24"/>
                <w:szCs w:val="24"/>
                <w:highlight w:val="none"/>
              </w:rPr>
              <w:t>并上传电子版</w:t>
            </w:r>
          </w:p>
        </w:tc>
        <w:tc>
          <w:tcPr>
            <w:tcW w:w="2673" w:type="pct"/>
            <w:noWrap w:val="0"/>
            <w:vAlign w:val="center"/>
          </w:tcPr>
          <w:p w14:paraId="16FF17A9">
            <w:pPr>
              <w:jc w:val="left"/>
              <w:rPr>
                <w:rFonts w:hint="eastAsia" w:ascii="仿宋" w:hAnsi="仿宋" w:eastAsia="仿宋" w:cs="仿宋"/>
                <w:color w:val="000000"/>
                <w:sz w:val="24"/>
                <w:szCs w:val="24"/>
                <w:highlight w:val="none"/>
                <w:lang w:eastAsia="zh-CN"/>
              </w:rPr>
            </w:pPr>
            <w:r>
              <w:rPr>
                <w:rFonts w:hint="eastAsia" w:ascii="仿宋" w:hAnsi="仿宋" w:eastAsia="仿宋" w:cs="仿宋"/>
                <w:color w:val="000000"/>
                <w:sz w:val="24"/>
                <w:szCs w:val="24"/>
                <w:highlight w:val="none"/>
              </w:rPr>
              <w:t>自发文日起一个月内完成，每月定期寄送纸质版材料至</w:t>
            </w:r>
            <w:r>
              <w:rPr>
                <w:rFonts w:hint="eastAsia" w:ascii="仿宋" w:hAnsi="仿宋" w:eastAsia="仿宋" w:cs="仿宋"/>
                <w:color w:val="000000"/>
                <w:sz w:val="24"/>
                <w:szCs w:val="24"/>
                <w:highlight w:val="none"/>
                <w:lang w:val="en-US" w:eastAsia="zh-CN"/>
              </w:rPr>
              <w:t>学校</w:t>
            </w:r>
          </w:p>
        </w:tc>
      </w:tr>
      <w:tr w14:paraId="339A17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6" w:hRule="atLeast"/>
        </w:trPr>
        <w:tc>
          <w:tcPr>
            <w:tcW w:w="554" w:type="pct"/>
            <w:vMerge w:val="restart"/>
            <w:noWrap w:val="0"/>
            <w:textDirection w:val="tbRlV"/>
            <w:vAlign w:val="center"/>
          </w:tcPr>
          <w:p w14:paraId="2B8C2D0E">
            <w:pPr>
              <w:ind w:left="113" w:right="113"/>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专利维护阶段</w:t>
            </w:r>
          </w:p>
        </w:tc>
        <w:tc>
          <w:tcPr>
            <w:tcW w:w="1772" w:type="pct"/>
            <w:noWrap w:val="0"/>
            <w:vAlign w:val="center"/>
          </w:tcPr>
          <w:p w14:paraId="7164BDA3">
            <w:pPr>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提醒</w:t>
            </w:r>
            <w:r>
              <w:rPr>
                <w:rFonts w:hint="eastAsia" w:ascii="仿宋" w:hAnsi="仿宋" w:eastAsia="仿宋" w:cs="仿宋"/>
                <w:color w:val="000000"/>
                <w:sz w:val="24"/>
                <w:szCs w:val="24"/>
                <w:highlight w:val="none"/>
                <w:lang w:val="en-US" w:eastAsia="zh-CN"/>
              </w:rPr>
              <w:t>及代办</w:t>
            </w:r>
            <w:r>
              <w:rPr>
                <w:rFonts w:hint="eastAsia" w:ascii="仿宋" w:hAnsi="仿宋" w:eastAsia="仿宋" w:cs="仿宋"/>
                <w:color w:val="000000"/>
                <w:sz w:val="24"/>
                <w:szCs w:val="24"/>
                <w:highlight w:val="none"/>
              </w:rPr>
              <w:t>发明人缴纳专利年费</w:t>
            </w:r>
          </w:p>
        </w:tc>
        <w:tc>
          <w:tcPr>
            <w:tcW w:w="2673" w:type="pct"/>
            <w:noWrap w:val="0"/>
            <w:vAlign w:val="center"/>
          </w:tcPr>
          <w:p w14:paraId="3B2AFAF9">
            <w:pPr>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在缴费截止日期前提前一个月内完成</w:t>
            </w:r>
          </w:p>
        </w:tc>
      </w:tr>
      <w:tr w14:paraId="6B5D9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trPr>
        <w:tc>
          <w:tcPr>
            <w:tcW w:w="554" w:type="pct"/>
            <w:vMerge w:val="continue"/>
            <w:noWrap w:val="0"/>
            <w:vAlign w:val="center"/>
          </w:tcPr>
          <w:p w14:paraId="4645C0A3">
            <w:pPr>
              <w:jc w:val="center"/>
              <w:rPr>
                <w:rFonts w:hint="eastAsia" w:ascii="仿宋" w:hAnsi="仿宋" w:eastAsia="仿宋" w:cs="仿宋"/>
                <w:color w:val="000000"/>
                <w:sz w:val="24"/>
                <w:szCs w:val="24"/>
                <w:highlight w:val="none"/>
              </w:rPr>
            </w:pPr>
          </w:p>
        </w:tc>
        <w:tc>
          <w:tcPr>
            <w:tcW w:w="1772" w:type="pct"/>
            <w:noWrap w:val="0"/>
            <w:vAlign w:val="center"/>
          </w:tcPr>
          <w:p w14:paraId="2743949B">
            <w:pPr>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实时在上海海事大学科研系统更新维护专利状态</w:t>
            </w:r>
          </w:p>
        </w:tc>
        <w:tc>
          <w:tcPr>
            <w:tcW w:w="2673" w:type="pct"/>
            <w:noWrap w:val="0"/>
            <w:vAlign w:val="center"/>
          </w:tcPr>
          <w:p w14:paraId="3D5B96E7">
            <w:pPr>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在发文日专利申请状态发生变化后的10个工作日内</w:t>
            </w:r>
          </w:p>
        </w:tc>
      </w:tr>
      <w:tr w14:paraId="55866B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3" w:hRule="atLeast"/>
        </w:trPr>
        <w:tc>
          <w:tcPr>
            <w:tcW w:w="554" w:type="pct"/>
            <w:noWrap w:val="0"/>
            <w:textDirection w:val="tbRlV"/>
            <w:vAlign w:val="center"/>
          </w:tcPr>
          <w:p w14:paraId="36A07F30">
            <w:pPr>
              <w:ind w:left="113" w:right="113"/>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软件著作权登记</w:t>
            </w:r>
          </w:p>
        </w:tc>
        <w:tc>
          <w:tcPr>
            <w:tcW w:w="1772" w:type="pct"/>
            <w:noWrap w:val="0"/>
            <w:vAlign w:val="center"/>
          </w:tcPr>
          <w:p w14:paraId="6F057AA4">
            <w:pPr>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软件著作权登记材料形式审核、修改、提交等全流程服务</w:t>
            </w:r>
          </w:p>
        </w:tc>
        <w:tc>
          <w:tcPr>
            <w:tcW w:w="2673" w:type="pct"/>
            <w:noWrap w:val="0"/>
            <w:vAlign w:val="center"/>
          </w:tcPr>
          <w:p w14:paraId="7CB70E92">
            <w:pPr>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收到申请后5个工作日内与提交人确认；</w:t>
            </w:r>
          </w:p>
          <w:p w14:paraId="7FC14B7F">
            <w:pPr>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确认后5个工作日内完成提交</w:t>
            </w:r>
          </w:p>
        </w:tc>
      </w:tr>
      <w:tr w14:paraId="557CA7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6" w:hRule="atLeast"/>
        </w:trPr>
        <w:tc>
          <w:tcPr>
            <w:tcW w:w="554" w:type="pct"/>
            <w:vMerge w:val="restart"/>
            <w:noWrap w:val="0"/>
            <w:textDirection w:val="tbRlV"/>
            <w:vAlign w:val="center"/>
          </w:tcPr>
          <w:p w14:paraId="56EBC154">
            <w:pPr>
              <w:ind w:left="113" w:right="113"/>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其他</w:t>
            </w:r>
          </w:p>
        </w:tc>
        <w:tc>
          <w:tcPr>
            <w:tcW w:w="1772" w:type="pct"/>
            <w:noWrap w:val="0"/>
            <w:vAlign w:val="center"/>
          </w:tcPr>
          <w:p w14:paraId="0B8E5108">
            <w:pPr>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协助处理学校知识产权相关统计、咨询、培训、宣讲等事务</w:t>
            </w:r>
          </w:p>
        </w:tc>
        <w:tc>
          <w:tcPr>
            <w:tcW w:w="2673" w:type="pct"/>
            <w:noWrap w:val="0"/>
            <w:vAlign w:val="center"/>
          </w:tcPr>
          <w:p w14:paraId="6E2AE9AC">
            <w:pPr>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根据学校要求</w:t>
            </w:r>
          </w:p>
        </w:tc>
      </w:tr>
      <w:tr w14:paraId="31D8A5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6" w:hRule="atLeast"/>
        </w:trPr>
        <w:tc>
          <w:tcPr>
            <w:tcW w:w="554" w:type="pct"/>
            <w:vMerge w:val="continue"/>
            <w:noWrap w:val="0"/>
            <w:vAlign w:val="center"/>
          </w:tcPr>
          <w:p w14:paraId="73B22259">
            <w:pPr>
              <w:jc w:val="center"/>
              <w:rPr>
                <w:rFonts w:hint="eastAsia" w:ascii="仿宋" w:hAnsi="仿宋" w:eastAsia="仿宋" w:cs="仿宋"/>
                <w:color w:val="000000"/>
                <w:sz w:val="24"/>
                <w:szCs w:val="24"/>
                <w:highlight w:val="none"/>
              </w:rPr>
            </w:pPr>
          </w:p>
        </w:tc>
        <w:tc>
          <w:tcPr>
            <w:tcW w:w="1772" w:type="pct"/>
            <w:noWrap w:val="0"/>
            <w:vAlign w:val="center"/>
          </w:tcPr>
          <w:p w14:paraId="128BBC7A">
            <w:pPr>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代办上海市、浦东新区、临港新片区等上级部门专利资助</w:t>
            </w:r>
          </w:p>
        </w:tc>
        <w:tc>
          <w:tcPr>
            <w:tcW w:w="2673" w:type="pct"/>
            <w:noWrap w:val="0"/>
            <w:vAlign w:val="center"/>
          </w:tcPr>
          <w:p w14:paraId="57946DB5">
            <w:pPr>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截止日期前30天内及时办理</w:t>
            </w:r>
          </w:p>
        </w:tc>
      </w:tr>
      <w:tr w14:paraId="191796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6" w:hRule="atLeast"/>
        </w:trPr>
        <w:tc>
          <w:tcPr>
            <w:tcW w:w="554" w:type="pct"/>
            <w:vMerge w:val="continue"/>
            <w:noWrap w:val="0"/>
            <w:vAlign w:val="center"/>
          </w:tcPr>
          <w:p w14:paraId="7A85A3AC">
            <w:pPr>
              <w:jc w:val="center"/>
              <w:rPr>
                <w:rFonts w:hint="eastAsia" w:ascii="仿宋" w:hAnsi="仿宋" w:eastAsia="仿宋" w:cs="仿宋"/>
                <w:color w:val="000000"/>
                <w:sz w:val="24"/>
                <w:szCs w:val="24"/>
                <w:highlight w:val="none"/>
              </w:rPr>
            </w:pPr>
          </w:p>
        </w:tc>
        <w:tc>
          <w:tcPr>
            <w:tcW w:w="1772" w:type="pct"/>
            <w:noWrap w:val="0"/>
            <w:vAlign w:val="center"/>
          </w:tcPr>
          <w:p w14:paraId="018F61EA">
            <w:pPr>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应发明人需求，办理著录项目变更、专利恢复权利、专利复审等手续</w:t>
            </w:r>
          </w:p>
        </w:tc>
        <w:tc>
          <w:tcPr>
            <w:tcW w:w="2673" w:type="pct"/>
            <w:noWrap w:val="0"/>
            <w:vAlign w:val="center"/>
          </w:tcPr>
          <w:p w14:paraId="61819FCF">
            <w:pPr>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发明人委托后3个工作日内联系发明人</w:t>
            </w:r>
          </w:p>
        </w:tc>
      </w:tr>
    </w:tbl>
    <w:p w14:paraId="272328DB">
      <w:pPr>
        <w:pStyle w:val="8"/>
        <w:ind w:left="0" w:leftChars="0" w:firstLine="0" w:firstLineChars="0"/>
        <w:jc w:val="left"/>
        <w:rPr>
          <w:rFonts w:hint="eastAsia" w:ascii="宋体" w:hAnsi="宋体" w:eastAsia="宋体" w:cs="宋体"/>
          <w:sz w:val="24"/>
          <w:szCs w:val="24"/>
          <w:lang w:val="en-US" w:eastAsia="zh-CN"/>
        </w:rPr>
      </w:pPr>
    </w:p>
    <w:p w14:paraId="0E3D1E8A">
      <w:pPr>
        <w:keepNext w:val="0"/>
        <w:keepLines w:val="0"/>
        <w:pageBreakBefore w:val="0"/>
        <w:widowControl w:val="0"/>
        <w:kinsoku/>
        <w:wordWrap/>
        <w:overflowPunct/>
        <w:topLinePunct w:val="0"/>
        <w:autoSpaceDE/>
        <w:autoSpaceDN/>
        <w:bidi w:val="0"/>
        <w:adjustRightInd/>
        <w:snapToGrid/>
        <w:spacing w:before="157" w:beforeLines="50" w:after="157" w:afterLines="50"/>
        <w:jc w:val="left"/>
        <w:textAlignment w:val="auto"/>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三、服务费用</w:t>
      </w:r>
      <w:r>
        <w:rPr>
          <w:rFonts w:hint="eastAsia" w:ascii="仿宋" w:hAnsi="仿宋" w:eastAsia="仿宋" w:cs="仿宋"/>
          <w:b w:val="0"/>
          <w:bCs w:val="0"/>
          <w:sz w:val="28"/>
          <w:szCs w:val="28"/>
          <w:lang w:val="en-US" w:eastAsia="zh-CN"/>
        </w:rPr>
        <w:t>（国内发明专利、实用新型专利、外观设计、软件著作权等）</w:t>
      </w:r>
    </w:p>
    <w:p w14:paraId="23155951">
      <w:pPr>
        <w:pStyle w:val="8"/>
        <w:keepNext w:val="0"/>
        <w:keepLines w:val="0"/>
        <w:pageBreakBefore w:val="0"/>
        <w:widowControl w:val="0"/>
        <w:kinsoku/>
        <w:wordWrap/>
        <w:overflowPunct/>
        <w:topLinePunct w:val="0"/>
        <w:autoSpaceDE/>
        <w:autoSpaceDN/>
        <w:bidi w:val="0"/>
        <w:adjustRightInd/>
        <w:snapToGrid/>
        <w:ind w:left="0" w:leftChars="0" w:firstLine="560" w:firstLineChars="200"/>
        <w:jc w:val="left"/>
        <w:textAlignment w:val="auto"/>
        <w:rPr>
          <w:rFonts w:hint="default"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根据中标结果，各代理机构服务费用略有差异，各项代理费用最高价格如下：</w:t>
      </w:r>
    </w:p>
    <w:tbl>
      <w:tblPr>
        <w:tblStyle w:val="5"/>
        <w:tblpPr w:leftFromText="180" w:rightFromText="180" w:vertAnchor="text" w:horzAnchor="page" w:tblpX="1803" w:tblpY="461"/>
        <w:tblOverlap w:val="never"/>
        <w:tblW w:w="4879"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827"/>
        <w:gridCol w:w="1201"/>
        <w:gridCol w:w="2614"/>
        <w:gridCol w:w="3674"/>
      </w:tblGrid>
      <w:tr w14:paraId="66656C1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497" w:type="pct"/>
            <w:vMerge w:val="restart"/>
            <w:noWrap w:val="0"/>
            <w:vAlign w:val="center"/>
          </w:tcPr>
          <w:p w14:paraId="7AF93227">
            <w:pPr>
              <w:widowControl/>
              <w:adjustRightInd/>
              <w:jc w:val="center"/>
              <w:textAlignment w:val="auto"/>
              <w:outlineLvl w:val="1"/>
              <w:rPr>
                <w:rFonts w:hint="eastAsia" w:ascii="仿宋" w:hAnsi="仿宋" w:eastAsia="仿宋" w:cs="仿宋"/>
                <w:b w:val="0"/>
                <w:bCs/>
                <w:color w:val="auto"/>
                <w:kern w:val="2"/>
                <w:sz w:val="21"/>
                <w:szCs w:val="21"/>
                <w:lang w:val="en-US" w:eastAsia="zh-CN" w:bidi="ar-SA"/>
              </w:rPr>
            </w:pPr>
            <w:bookmarkStart w:id="1" w:name="_Toc480130742"/>
            <w:bookmarkStart w:id="2" w:name="_Toc25588"/>
            <w:r>
              <w:rPr>
                <w:rFonts w:hint="eastAsia" w:ascii="仿宋" w:hAnsi="仿宋" w:eastAsia="仿宋" w:cs="仿宋"/>
                <w:b w:val="0"/>
                <w:bCs/>
                <w:color w:val="auto"/>
                <w:kern w:val="2"/>
                <w:sz w:val="21"/>
                <w:szCs w:val="21"/>
              </w:rPr>
              <w:t>序号</w:t>
            </w:r>
          </w:p>
        </w:tc>
        <w:tc>
          <w:tcPr>
            <w:tcW w:w="2293" w:type="pct"/>
            <w:gridSpan w:val="2"/>
            <w:vMerge w:val="restart"/>
            <w:noWrap w:val="0"/>
            <w:vAlign w:val="center"/>
          </w:tcPr>
          <w:p w14:paraId="4BD6CF13">
            <w:pPr>
              <w:widowControl/>
              <w:adjustRightInd/>
              <w:jc w:val="center"/>
              <w:textAlignment w:val="auto"/>
              <w:outlineLvl w:val="1"/>
              <w:rPr>
                <w:rFonts w:hint="eastAsia" w:ascii="仿宋" w:hAnsi="仿宋" w:eastAsia="仿宋" w:cs="仿宋"/>
                <w:b w:val="0"/>
                <w:bCs/>
                <w:color w:val="auto"/>
                <w:kern w:val="2"/>
                <w:sz w:val="21"/>
                <w:szCs w:val="21"/>
                <w:lang w:val="en-US" w:eastAsia="zh-CN" w:bidi="ar-SA"/>
              </w:rPr>
            </w:pPr>
            <w:r>
              <w:rPr>
                <w:rFonts w:hint="eastAsia" w:ascii="仿宋" w:hAnsi="仿宋" w:eastAsia="仿宋" w:cs="仿宋"/>
                <w:b w:val="0"/>
                <w:bCs/>
                <w:color w:val="auto"/>
                <w:kern w:val="2"/>
                <w:sz w:val="21"/>
                <w:szCs w:val="21"/>
              </w:rPr>
              <w:t>服务内容</w:t>
            </w:r>
          </w:p>
        </w:tc>
        <w:tc>
          <w:tcPr>
            <w:tcW w:w="2208" w:type="pct"/>
            <w:vMerge w:val="restart"/>
            <w:noWrap w:val="0"/>
            <w:vAlign w:val="center"/>
          </w:tcPr>
          <w:p w14:paraId="6B69172C">
            <w:pPr>
              <w:widowControl/>
              <w:adjustRightInd/>
              <w:jc w:val="center"/>
              <w:textAlignment w:val="auto"/>
              <w:outlineLvl w:val="1"/>
              <w:rPr>
                <w:rFonts w:hint="eastAsia" w:ascii="仿宋" w:hAnsi="仿宋" w:eastAsia="仿宋" w:cs="仿宋"/>
                <w:b w:val="0"/>
                <w:bCs/>
                <w:color w:val="auto"/>
                <w:kern w:val="2"/>
                <w:sz w:val="21"/>
                <w:szCs w:val="21"/>
                <w:lang w:val="en-US" w:eastAsia="zh-CN" w:bidi="ar-SA"/>
              </w:rPr>
            </w:pPr>
            <w:r>
              <w:rPr>
                <w:rFonts w:hint="eastAsia" w:ascii="仿宋" w:hAnsi="仿宋" w:eastAsia="仿宋" w:cs="仿宋"/>
                <w:b w:val="0"/>
                <w:bCs/>
                <w:color w:val="auto"/>
                <w:kern w:val="2"/>
                <w:sz w:val="21"/>
                <w:szCs w:val="21"/>
              </w:rPr>
              <w:t>代理费最高限价</w:t>
            </w:r>
          </w:p>
        </w:tc>
      </w:tr>
      <w:tr w14:paraId="5DE9DAE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497" w:type="pct"/>
            <w:vMerge w:val="continue"/>
            <w:noWrap w:val="0"/>
            <w:vAlign w:val="center"/>
          </w:tcPr>
          <w:p w14:paraId="61D68FC3">
            <w:pPr>
              <w:widowControl/>
              <w:adjustRightInd/>
              <w:jc w:val="center"/>
              <w:textAlignment w:val="auto"/>
              <w:outlineLvl w:val="1"/>
              <w:rPr>
                <w:rFonts w:hint="eastAsia" w:ascii="仿宋" w:hAnsi="仿宋" w:eastAsia="仿宋" w:cs="仿宋"/>
                <w:b w:val="0"/>
                <w:bCs/>
                <w:color w:val="auto"/>
                <w:kern w:val="2"/>
                <w:sz w:val="21"/>
                <w:szCs w:val="21"/>
                <w:lang w:val="en-US" w:eastAsia="zh-CN" w:bidi="ar-SA"/>
              </w:rPr>
            </w:pPr>
          </w:p>
        </w:tc>
        <w:tc>
          <w:tcPr>
            <w:tcW w:w="2293" w:type="pct"/>
            <w:gridSpan w:val="2"/>
            <w:vMerge w:val="continue"/>
            <w:noWrap w:val="0"/>
            <w:vAlign w:val="center"/>
          </w:tcPr>
          <w:p w14:paraId="56022D35">
            <w:pPr>
              <w:widowControl/>
              <w:adjustRightInd/>
              <w:jc w:val="center"/>
              <w:textAlignment w:val="auto"/>
              <w:outlineLvl w:val="1"/>
              <w:rPr>
                <w:rFonts w:hint="eastAsia" w:ascii="仿宋" w:hAnsi="仿宋" w:eastAsia="仿宋" w:cs="仿宋"/>
                <w:b w:val="0"/>
                <w:bCs/>
                <w:color w:val="auto"/>
                <w:kern w:val="2"/>
                <w:sz w:val="21"/>
                <w:szCs w:val="21"/>
                <w:lang w:val="en-US" w:eastAsia="zh-CN" w:bidi="ar-SA"/>
              </w:rPr>
            </w:pPr>
          </w:p>
        </w:tc>
        <w:tc>
          <w:tcPr>
            <w:tcW w:w="2208" w:type="pct"/>
            <w:vMerge w:val="continue"/>
            <w:noWrap w:val="0"/>
            <w:vAlign w:val="center"/>
          </w:tcPr>
          <w:p w14:paraId="5C658C6D">
            <w:pPr>
              <w:widowControl/>
              <w:adjustRightInd/>
              <w:jc w:val="center"/>
              <w:textAlignment w:val="auto"/>
              <w:outlineLvl w:val="1"/>
              <w:rPr>
                <w:rFonts w:hint="eastAsia" w:ascii="仿宋" w:hAnsi="仿宋" w:eastAsia="仿宋" w:cs="仿宋"/>
                <w:b w:val="0"/>
                <w:bCs/>
                <w:color w:val="auto"/>
                <w:kern w:val="2"/>
                <w:sz w:val="21"/>
                <w:szCs w:val="21"/>
                <w:lang w:val="en-US" w:eastAsia="zh-CN" w:bidi="ar-SA"/>
              </w:rPr>
            </w:pPr>
          </w:p>
        </w:tc>
      </w:tr>
      <w:tr w14:paraId="25820B0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0" w:hRule="atLeast"/>
        </w:trPr>
        <w:tc>
          <w:tcPr>
            <w:tcW w:w="497" w:type="pct"/>
            <w:noWrap w:val="0"/>
            <w:vAlign w:val="center"/>
          </w:tcPr>
          <w:p w14:paraId="0D07579B">
            <w:pPr>
              <w:widowControl/>
              <w:adjustRightInd/>
              <w:jc w:val="center"/>
              <w:textAlignment w:val="auto"/>
              <w:outlineLvl w:val="1"/>
              <w:rPr>
                <w:rFonts w:hint="eastAsia" w:ascii="仿宋" w:hAnsi="仿宋" w:eastAsia="仿宋" w:cs="仿宋"/>
                <w:b w:val="0"/>
                <w:bCs/>
                <w:color w:val="auto"/>
                <w:kern w:val="2"/>
                <w:sz w:val="21"/>
                <w:szCs w:val="21"/>
              </w:rPr>
            </w:pPr>
            <w:r>
              <w:rPr>
                <w:rFonts w:hint="eastAsia" w:ascii="仿宋" w:hAnsi="仿宋" w:eastAsia="仿宋" w:cs="仿宋"/>
                <w:b w:val="0"/>
                <w:bCs/>
                <w:color w:val="auto"/>
                <w:kern w:val="2"/>
                <w:sz w:val="21"/>
                <w:szCs w:val="21"/>
              </w:rPr>
              <w:t>1</w:t>
            </w:r>
            <w:bookmarkEnd w:id="1"/>
            <w:bookmarkEnd w:id="2"/>
          </w:p>
        </w:tc>
        <w:tc>
          <w:tcPr>
            <w:tcW w:w="722" w:type="pct"/>
            <w:vMerge w:val="restart"/>
            <w:noWrap w:val="0"/>
            <w:vAlign w:val="center"/>
          </w:tcPr>
          <w:p w14:paraId="67828359">
            <w:pPr>
              <w:widowControl/>
              <w:adjustRightInd/>
              <w:jc w:val="center"/>
              <w:textAlignment w:val="auto"/>
              <w:outlineLvl w:val="1"/>
              <w:rPr>
                <w:rFonts w:hint="eastAsia" w:ascii="仿宋" w:hAnsi="仿宋" w:eastAsia="仿宋" w:cs="仿宋"/>
                <w:b w:val="0"/>
                <w:bCs/>
                <w:color w:val="auto"/>
                <w:kern w:val="2"/>
                <w:sz w:val="21"/>
                <w:szCs w:val="21"/>
                <w:lang w:eastAsia="zh-CN"/>
              </w:rPr>
            </w:pPr>
            <w:r>
              <w:rPr>
                <w:rFonts w:hint="eastAsia" w:ascii="仿宋" w:hAnsi="仿宋" w:eastAsia="仿宋" w:cs="仿宋"/>
                <w:b w:val="0"/>
                <w:bCs/>
                <w:color w:val="auto"/>
                <w:kern w:val="2"/>
                <w:sz w:val="21"/>
                <w:szCs w:val="21"/>
                <w:lang w:eastAsia="zh-CN"/>
              </w:rPr>
              <w:t>发明专利</w:t>
            </w:r>
          </w:p>
        </w:tc>
        <w:tc>
          <w:tcPr>
            <w:tcW w:w="1571" w:type="pct"/>
            <w:noWrap w:val="0"/>
            <w:vAlign w:val="center"/>
          </w:tcPr>
          <w:p w14:paraId="506CF3F7">
            <w:pPr>
              <w:widowControl/>
              <w:adjustRightInd/>
              <w:jc w:val="center"/>
              <w:textAlignment w:val="auto"/>
              <w:outlineLvl w:val="1"/>
              <w:rPr>
                <w:rFonts w:hint="eastAsia" w:ascii="仿宋" w:hAnsi="仿宋" w:eastAsia="仿宋" w:cs="仿宋"/>
                <w:b w:val="0"/>
                <w:bCs/>
                <w:color w:val="auto"/>
                <w:kern w:val="2"/>
                <w:sz w:val="21"/>
                <w:szCs w:val="21"/>
                <w:lang w:val="en-US" w:eastAsia="zh-CN" w:bidi="ar-SA"/>
              </w:rPr>
            </w:pPr>
            <w:bookmarkStart w:id="3" w:name="_Toc17988"/>
            <w:r>
              <w:rPr>
                <w:rFonts w:hint="eastAsia" w:ascii="仿宋" w:hAnsi="仿宋" w:eastAsia="仿宋" w:cs="仿宋"/>
                <w:b w:val="0"/>
                <w:bCs/>
                <w:color w:val="auto"/>
                <w:kern w:val="2"/>
                <w:sz w:val="21"/>
                <w:szCs w:val="21"/>
              </w:rPr>
              <w:t>申请</w:t>
            </w:r>
            <w:r>
              <w:rPr>
                <w:rFonts w:hint="eastAsia" w:ascii="仿宋" w:hAnsi="仿宋" w:eastAsia="仿宋" w:cs="仿宋"/>
                <w:b w:val="0"/>
                <w:bCs/>
                <w:color w:val="auto"/>
                <w:kern w:val="2"/>
                <w:sz w:val="21"/>
                <w:szCs w:val="21"/>
                <w:lang w:eastAsia="zh-CN"/>
              </w:rPr>
              <w:t>代理费</w:t>
            </w:r>
          </w:p>
          <w:bookmarkEnd w:id="3"/>
        </w:tc>
        <w:tc>
          <w:tcPr>
            <w:tcW w:w="2208" w:type="pct"/>
            <w:noWrap w:val="0"/>
            <w:vAlign w:val="center"/>
          </w:tcPr>
          <w:p w14:paraId="377134BB">
            <w:pPr>
              <w:adjustRightInd/>
              <w:jc w:val="center"/>
              <w:textAlignment w:val="auto"/>
              <w:outlineLvl w:val="1"/>
              <w:rPr>
                <w:rFonts w:hint="eastAsia" w:ascii="仿宋" w:hAnsi="仿宋" w:eastAsia="仿宋" w:cs="仿宋"/>
                <w:b w:val="0"/>
                <w:bCs/>
                <w:color w:val="auto"/>
                <w:kern w:val="2"/>
                <w:sz w:val="21"/>
                <w:szCs w:val="21"/>
                <w:lang w:val="en-US" w:eastAsia="zh-CN" w:bidi="ar-SA"/>
              </w:rPr>
            </w:pPr>
            <w:r>
              <w:rPr>
                <w:rFonts w:hint="eastAsia" w:ascii="仿宋" w:hAnsi="仿宋" w:eastAsia="仿宋" w:cs="仿宋"/>
                <w:b w:val="0"/>
                <w:bCs/>
                <w:color w:val="auto"/>
                <w:kern w:val="2"/>
                <w:sz w:val="21"/>
                <w:szCs w:val="21"/>
                <w:lang w:val="en-US" w:eastAsia="zh-CN"/>
              </w:rPr>
              <w:t>1700</w:t>
            </w:r>
            <w:r>
              <w:rPr>
                <w:rFonts w:hint="eastAsia" w:ascii="仿宋" w:hAnsi="仿宋" w:eastAsia="仿宋" w:cs="仿宋"/>
                <w:b w:val="0"/>
                <w:bCs/>
                <w:color w:val="auto"/>
                <w:kern w:val="2"/>
                <w:sz w:val="21"/>
                <w:szCs w:val="21"/>
              </w:rPr>
              <w:t>元/项</w:t>
            </w:r>
          </w:p>
        </w:tc>
      </w:tr>
      <w:tr w14:paraId="7896AF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497" w:type="pct"/>
            <w:noWrap w:val="0"/>
            <w:vAlign w:val="center"/>
          </w:tcPr>
          <w:p w14:paraId="004F931D">
            <w:pPr>
              <w:widowControl/>
              <w:adjustRightInd/>
              <w:jc w:val="center"/>
              <w:textAlignment w:val="auto"/>
              <w:outlineLvl w:val="1"/>
              <w:rPr>
                <w:rFonts w:hint="eastAsia" w:ascii="仿宋" w:hAnsi="仿宋" w:eastAsia="仿宋" w:cs="仿宋"/>
                <w:b w:val="0"/>
                <w:bCs/>
                <w:color w:val="auto"/>
                <w:kern w:val="2"/>
                <w:sz w:val="21"/>
                <w:szCs w:val="21"/>
                <w:lang w:val="en-US" w:eastAsia="zh-CN"/>
              </w:rPr>
            </w:pPr>
            <w:bookmarkStart w:id="4" w:name="_Toc31191"/>
            <w:r>
              <w:rPr>
                <w:rFonts w:hint="eastAsia" w:ascii="仿宋" w:hAnsi="仿宋" w:eastAsia="仿宋" w:cs="仿宋"/>
                <w:b w:val="0"/>
                <w:bCs/>
                <w:color w:val="auto"/>
                <w:kern w:val="2"/>
                <w:sz w:val="21"/>
                <w:szCs w:val="21"/>
              </w:rPr>
              <w:t>2</w:t>
            </w:r>
          </w:p>
        </w:tc>
        <w:tc>
          <w:tcPr>
            <w:tcW w:w="722" w:type="pct"/>
            <w:vMerge w:val="continue"/>
            <w:noWrap w:val="0"/>
            <w:vAlign w:val="center"/>
          </w:tcPr>
          <w:p w14:paraId="7FBB98CF">
            <w:pPr>
              <w:widowControl/>
              <w:adjustRightInd/>
              <w:jc w:val="center"/>
              <w:textAlignment w:val="auto"/>
              <w:outlineLvl w:val="1"/>
              <w:rPr>
                <w:rFonts w:hint="eastAsia" w:ascii="仿宋" w:hAnsi="仿宋" w:eastAsia="仿宋" w:cs="仿宋"/>
                <w:b w:val="0"/>
                <w:bCs/>
                <w:color w:val="auto"/>
                <w:kern w:val="2"/>
                <w:sz w:val="21"/>
                <w:szCs w:val="21"/>
                <w:lang w:eastAsia="zh-CN"/>
              </w:rPr>
            </w:pPr>
          </w:p>
        </w:tc>
        <w:tc>
          <w:tcPr>
            <w:tcW w:w="1571" w:type="pct"/>
            <w:noWrap w:val="0"/>
            <w:vAlign w:val="center"/>
          </w:tcPr>
          <w:p w14:paraId="127F2880">
            <w:pPr>
              <w:widowControl/>
              <w:adjustRightInd/>
              <w:jc w:val="center"/>
              <w:textAlignment w:val="auto"/>
              <w:outlineLvl w:val="1"/>
              <w:rPr>
                <w:rFonts w:hint="eastAsia" w:ascii="仿宋" w:hAnsi="仿宋" w:eastAsia="仿宋" w:cs="仿宋"/>
                <w:b w:val="0"/>
                <w:bCs/>
                <w:color w:val="auto"/>
                <w:kern w:val="2"/>
                <w:sz w:val="21"/>
                <w:szCs w:val="21"/>
                <w:lang w:val="en-US" w:eastAsia="zh-CN" w:bidi="ar-SA"/>
              </w:rPr>
            </w:pPr>
            <w:r>
              <w:rPr>
                <w:rFonts w:hint="eastAsia" w:ascii="仿宋" w:hAnsi="仿宋" w:eastAsia="仿宋" w:cs="仿宋"/>
                <w:b w:val="0"/>
                <w:bCs/>
                <w:color w:val="auto"/>
                <w:kern w:val="2"/>
                <w:sz w:val="21"/>
                <w:szCs w:val="21"/>
                <w:lang w:eastAsia="zh-CN"/>
              </w:rPr>
              <w:t>答复（不分几次）代理费</w:t>
            </w:r>
          </w:p>
        </w:tc>
        <w:tc>
          <w:tcPr>
            <w:tcW w:w="2208" w:type="pct"/>
            <w:noWrap w:val="0"/>
            <w:vAlign w:val="center"/>
          </w:tcPr>
          <w:p w14:paraId="4A449422">
            <w:pPr>
              <w:adjustRightInd/>
              <w:jc w:val="center"/>
              <w:textAlignment w:val="auto"/>
              <w:outlineLvl w:val="1"/>
              <w:rPr>
                <w:rFonts w:hint="default" w:ascii="仿宋" w:hAnsi="仿宋" w:eastAsia="仿宋" w:cs="仿宋"/>
                <w:b w:val="0"/>
                <w:bCs/>
                <w:color w:val="auto"/>
                <w:kern w:val="2"/>
                <w:sz w:val="21"/>
                <w:szCs w:val="21"/>
                <w:lang w:val="en-US" w:eastAsia="zh-CN"/>
              </w:rPr>
            </w:pPr>
            <w:r>
              <w:rPr>
                <w:rFonts w:hint="eastAsia" w:ascii="仿宋" w:hAnsi="仿宋" w:eastAsia="仿宋" w:cs="仿宋"/>
                <w:b w:val="0"/>
                <w:bCs/>
                <w:color w:val="auto"/>
                <w:kern w:val="2"/>
                <w:sz w:val="21"/>
                <w:szCs w:val="21"/>
                <w:lang w:val="en-US" w:eastAsia="zh-CN"/>
              </w:rPr>
              <w:t>1300元/项</w:t>
            </w:r>
          </w:p>
        </w:tc>
      </w:tr>
      <w:bookmarkEnd w:id="4"/>
      <w:tr w14:paraId="74AEEFC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497" w:type="pct"/>
            <w:noWrap w:val="0"/>
            <w:vAlign w:val="center"/>
          </w:tcPr>
          <w:p w14:paraId="30E05A8A">
            <w:pPr>
              <w:widowControl/>
              <w:adjustRightInd/>
              <w:jc w:val="center"/>
              <w:textAlignment w:val="auto"/>
              <w:outlineLvl w:val="1"/>
              <w:rPr>
                <w:rFonts w:hint="eastAsia" w:ascii="仿宋" w:hAnsi="仿宋" w:eastAsia="仿宋" w:cs="仿宋"/>
                <w:b w:val="0"/>
                <w:bCs/>
                <w:color w:val="auto"/>
                <w:kern w:val="2"/>
                <w:sz w:val="21"/>
                <w:szCs w:val="21"/>
                <w:lang w:eastAsia="zh-CN"/>
              </w:rPr>
            </w:pPr>
            <w:r>
              <w:rPr>
                <w:rFonts w:hint="eastAsia" w:ascii="仿宋" w:hAnsi="仿宋" w:eastAsia="仿宋" w:cs="仿宋"/>
                <w:b w:val="0"/>
                <w:bCs/>
                <w:color w:val="auto"/>
                <w:kern w:val="2"/>
                <w:sz w:val="21"/>
                <w:szCs w:val="21"/>
                <w:lang w:val="en-US" w:eastAsia="zh-CN"/>
              </w:rPr>
              <w:t>3</w:t>
            </w:r>
          </w:p>
        </w:tc>
        <w:tc>
          <w:tcPr>
            <w:tcW w:w="722" w:type="pct"/>
            <w:vMerge w:val="continue"/>
            <w:noWrap w:val="0"/>
            <w:vAlign w:val="center"/>
          </w:tcPr>
          <w:p w14:paraId="163EDF8A">
            <w:pPr>
              <w:widowControl/>
              <w:adjustRightInd/>
              <w:jc w:val="center"/>
              <w:textAlignment w:val="auto"/>
              <w:outlineLvl w:val="1"/>
              <w:rPr>
                <w:rFonts w:hint="eastAsia" w:ascii="仿宋" w:hAnsi="仿宋" w:eastAsia="仿宋" w:cs="仿宋"/>
                <w:b w:val="0"/>
                <w:bCs/>
                <w:color w:val="auto"/>
                <w:kern w:val="2"/>
                <w:sz w:val="21"/>
                <w:szCs w:val="21"/>
              </w:rPr>
            </w:pPr>
          </w:p>
        </w:tc>
        <w:tc>
          <w:tcPr>
            <w:tcW w:w="1571" w:type="pct"/>
            <w:noWrap w:val="0"/>
            <w:vAlign w:val="center"/>
          </w:tcPr>
          <w:p w14:paraId="4E27A4FA">
            <w:pPr>
              <w:widowControl/>
              <w:adjustRightInd/>
              <w:jc w:val="center"/>
              <w:textAlignment w:val="auto"/>
              <w:outlineLvl w:val="1"/>
              <w:rPr>
                <w:rFonts w:hint="eastAsia" w:ascii="仿宋" w:hAnsi="仿宋" w:eastAsia="仿宋" w:cs="仿宋"/>
                <w:b w:val="0"/>
                <w:bCs/>
                <w:color w:val="auto"/>
                <w:kern w:val="2"/>
                <w:sz w:val="21"/>
                <w:szCs w:val="21"/>
                <w:lang w:val="en-US" w:eastAsia="zh-CN" w:bidi="ar-SA"/>
              </w:rPr>
            </w:pPr>
            <w:bookmarkStart w:id="5" w:name="_Toc5101"/>
            <w:r>
              <w:rPr>
                <w:rFonts w:hint="eastAsia" w:ascii="仿宋" w:hAnsi="仿宋" w:eastAsia="仿宋" w:cs="仿宋"/>
                <w:b w:val="0"/>
                <w:bCs/>
                <w:color w:val="auto"/>
                <w:kern w:val="2"/>
                <w:sz w:val="21"/>
                <w:szCs w:val="21"/>
              </w:rPr>
              <w:t>授权</w:t>
            </w:r>
            <w:r>
              <w:rPr>
                <w:rFonts w:hint="eastAsia" w:ascii="仿宋" w:hAnsi="仿宋" w:eastAsia="仿宋" w:cs="仿宋"/>
                <w:b w:val="0"/>
                <w:bCs/>
                <w:color w:val="auto"/>
                <w:kern w:val="2"/>
                <w:sz w:val="21"/>
                <w:szCs w:val="21"/>
                <w:lang w:eastAsia="zh-CN"/>
              </w:rPr>
              <w:t>代理费</w:t>
            </w:r>
          </w:p>
        </w:tc>
        <w:tc>
          <w:tcPr>
            <w:tcW w:w="2208" w:type="pct"/>
            <w:noWrap w:val="0"/>
            <w:vAlign w:val="center"/>
          </w:tcPr>
          <w:p w14:paraId="3F6EF894">
            <w:pPr>
              <w:adjustRightInd/>
              <w:jc w:val="center"/>
              <w:textAlignment w:val="auto"/>
              <w:outlineLvl w:val="1"/>
              <w:rPr>
                <w:rFonts w:hint="eastAsia" w:ascii="仿宋" w:hAnsi="仿宋" w:eastAsia="仿宋" w:cs="仿宋"/>
                <w:b w:val="0"/>
                <w:bCs/>
                <w:color w:val="auto"/>
                <w:kern w:val="2"/>
                <w:sz w:val="21"/>
                <w:szCs w:val="21"/>
              </w:rPr>
            </w:pPr>
            <w:r>
              <w:rPr>
                <w:rFonts w:hint="eastAsia" w:ascii="仿宋" w:hAnsi="仿宋" w:eastAsia="仿宋" w:cs="仿宋"/>
                <w:b w:val="0"/>
                <w:bCs/>
                <w:color w:val="auto"/>
                <w:kern w:val="2"/>
                <w:sz w:val="21"/>
                <w:szCs w:val="21"/>
                <w:lang w:val="en-US" w:eastAsia="zh-CN"/>
              </w:rPr>
              <w:t>5</w:t>
            </w:r>
            <w:r>
              <w:rPr>
                <w:rFonts w:hint="eastAsia" w:ascii="仿宋" w:hAnsi="仿宋" w:eastAsia="仿宋" w:cs="仿宋"/>
                <w:b w:val="0"/>
                <w:bCs/>
                <w:color w:val="auto"/>
                <w:kern w:val="2"/>
                <w:sz w:val="21"/>
                <w:szCs w:val="21"/>
              </w:rPr>
              <w:t>00元/项</w:t>
            </w:r>
            <w:bookmarkEnd w:id="5"/>
          </w:p>
        </w:tc>
      </w:tr>
      <w:tr w14:paraId="3C5A4A6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6" w:hRule="atLeast"/>
        </w:trPr>
        <w:tc>
          <w:tcPr>
            <w:tcW w:w="497" w:type="pct"/>
            <w:noWrap w:val="0"/>
            <w:vAlign w:val="center"/>
          </w:tcPr>
          <w:p w14:paraId="7244892C">
            <w:pPr>
              <w:widowControl/>
              <w:adjustRightInd/>
              <w:jc w:val="center"/>
              <w:textAlignment w:val="auto"/>
              <w:outlineLvl w:val="1"/>
              <w:rPr>
                <w:rFonts w:hint="eastAsia" w:ascii="仿宋" w:hAnsi="仿宋" w:eastAsia="仿宋" w:cs="仿宋"/>
                <w:b w:val="0"/>
                <w:bCs/>
                <w:color w:val="auto"/>
                <w:kern w:val="2"/>
                <w:sz w:val="21"/>
                <w:szCs w:val="21"/>
                <w:lang w:eastAsia="zh-CN"/>
              </w:rPr>
            </w:pPr>
            <w:r>
              <w:rPr>
                <w:rFonts w:hint="eastAsia" w:ascii="仿宋" w:hAnsi="仿宋" w:eastAsia="仿宋" w:cs="仿宋"/>
                <w:b w:val="0"/>
                <w:bCs/>
                <w:color w:val="auto"/>
                <w:kern w:val="2"/>
                <w:sz w:val="21"/>
                <w:szCs w:val="21"/>
                <w:lang w:val="en-US" w:eastAsia="zh-CN"/>
              </w:rPr>
              <w:t>4</w:t>
            </w:r>
          </w:p>
        </w:tc>
        <w:tc>
          <w:tcPr>
            <w:tcW w:w="722" w:type="pct"/>
            <w:noWrap w:val="0"/>
            <w:vAlign w:val="center"/>
          </w:tcPr>
          <w:p w14:paraId="7F85F499">
            <w:pPr>
              <w:widowControl/>
              <w:adjustRightInd/>
              <w:jc w:val="center"/>
              <w:textAlignment w:val="auto"/>
              <w:outlineLvl w:val="1"/>
              <w:rPr>
                <w:rFonts w:hint="eastAsia" w:ascii="仿宋" w:hAnsi="仿宋" w:eastAsia="仿宋" w:cs="仿宋"/>
                <w:b w:val="0"/>
                <w:bCs/>
                <w:color w:val="auto"/>
                <w:kern w:val="2"/>
                <w:sz w:val="21"/>
                <w:szCs w:val="21"/>
              </w:rPr>
            </w:pPr>
            <w:r>
              <w:rPr>
                <w:rFonts w:hint="eastAsia" w:ascii="仿宋" w:hAnsi="仿宋" w:eastAsia="仿宋" w:cs="仿宋"/>
                <w:b w:val="0"/>
                <w:bCs/>
                <w:color w:val="auto"/>
                <w:kern w:val="2"/>
                <w:sz w:val="21"/>
                <w:szCs w:val="21"/>
              </w:rPr>
              <w:t>实用新型专利</w:t>
            </w:r>
          </w:p>
        </w:tc>
        <w:tc>
          <w:tcPr>
            <w:tcW w:w="1571" w:type="pct"/>
            <w:noWrap w:val="0"/>
            <w:vAlign w:val="center"/>
          </w:tcPr>
          <w:p w14:paraId="2D9D56D8">
            <w:pPr>
              <w:widowControl/>
              <w:adjustRightInd/>
              <w:jc w:val="center"/>
              <w:textAlignment w:val="auto"/>
              <w:outlineLvl w:val="1"/>
              <w:rPr>
                <w:rFonts w:hint="eastAsia" w:ascii="仿宋" w:hAnsi="仿宋" w:eastAsia="仿宋" w:cs="仿宋"/>
                <w:b w:val="0"/>
                <w:bCs/>
                <w:color w:val="auto"/>
                <w:kern w:val="2"/>
                <w:sz w:val="21"/>
                <w:szCs w:val="21"/>
                <w:lang w:val="en-US" w:eastAsia="zh-CN" w:bidi="ar-SA"/>
              </w:rPr>
            </w:pPr>
            <w:bookmarkStart w:id="6" w:name="_Toc8357"/>
            <w:r>
              <w:rPr>
                <w:rFonts w:hint="eastAsia" w:ascii="仿宋" w:hAnsi="仿宋" w:eastAsia="仿宋" w:cs="仿宋"/>
                <w:b w:val="0"/>
                <w:bCs/>
                <w:color w:val="auto"/>
                <w:kern w:val="2"/>
                <w:sz w:val="21"/>
                <w:szCs w:val="21"/>
                <w:lang w:eastAsia="zh-CN"/>
              </w:rPr>
              <w:t>代理费</w:t>
            </w:r>
          </w:p>
          <w:bookmarkEnd w:id="6"/>
        </w:tc>
        <w:tc>
          <w:tcPr>
            <w:tcW w:w="2208" w:type="pct"/>
            <w:noWrap w:val="0"/>
            <w:vAlign w:val="center"/>
          </w:tcPr>
          <w:p w14:paraId="2DAB6E90">
            <w:pPr>
              <w:widowControl/>
              <w:adjustRightInd/>
              <w:jc w:val="center"/>
              <w:textAlignment w:val="auto"/>
              <w:outlineLvl w:val="1"/>
              <w:rPr>
                <w:rFonts w:hint="eastAsia" w:ascii="仿宋" w:hAnsi="仿宋" w:eastAsia="仿宋" w:cs="仿宋"/>
                <w:b w:val="0"/>
                <w:bCs/>
                <w:color w:val="auto"/>
                <w:kern w:val="2"/>
                <w:sz w:val="21"/>
                <w:szCs w:val="21"/>
              </w:rPr>
            </w:pPr>
            <w:r>
              <w:rPr>
                <w:rFonts w:hint="eastAsia" w:ascii="仿宋" w:hAnsi="仿宋" w:eastAsia="仿宋" w:cs="仿宋"/>
                <w:b w:val="0"/>
                <w:bCs/>
                <w:color w:val="auto"/>
                <w:kern w:val="2"/>
                <w:sz w:val="21"/>
                <w:szCs w:val="21"/>
                <w:lang w:val="en-US" w:eastAsia="zh-CN"/>
              </w:rPr>
              <w:t>1200</w:t>
            </w:r>
            <w:r>
              <w:rPr>
                <w:rFonts w:hint="eastAsia" w:ascii="仿宋" w:hAnsi="仿宋" w:eastAsia="仿宋" w:cs="仿宋"/>
                <w:b w:val="0"/>
                <w:bCs/>
                <w:color w:val="auto"/>
                <w:kern w:val="2"/>
                <w:sz w:val="21"/>
                <w:szCs w:val="21"/>
              </w:rPr>
              <w:t>元/项</w:t>
            </w:r>
          </w:p>
        </w:tc>
      </w:tr>
      <w:tr w14:paraId="7F6AB6E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9" w:hRule="atLeast"/>
        </w:trPr>
        <w:tc>
          <w:tcPr>
            <w:tcW w:w="497" w:type="pct"/>
            <w:noWrap w:val="0"/>
            <w:vAlign w:val="center"/>
          </w:tcPr>
          <w:p w14:paraId="3216FF39">
            <w:pPr>
              <w:widowControl/>
              <w:adjustRightInd/>
              <w:jc w:val="center"/>
              <w:textAlignment w:val="auto"/>
              <w:outlineLvl w:val="1"/>
              <w:rPr>
                <w:rFonts w:hint="eastAsia" w:ascii="仿宋" w:hAnsi="仿宋" w:eastAsia="仿宋" w:cs="仿宋"/>
                <w:b w:val="0"/>
                <w:bCs/>
                <w:color w:val="auto"/>
                <w:kern w:val="2"/>
                <w:sz w:val="21"/>
                <w:szCs w:val="21"/>
                <w:lang w:eastAsia="zh-CN"/>
              </w:rPr>
            </w:pPr>
            <w:r>
              <w:rPr>
                <w:rFonts w:hint="eastAsia" w:ascii="仿宋" w:hAnsi="仿宋" w:eastAsia="仿宋" w:cs="仿宋"/>
                <w:b w:val="0"/>
                <w:bCs/>
                <w:color w:val="auto"/>
                <w:kern w:val="2"/>
                <w:sz w:val="21"/>
                <w:szCs w:val="21"/>
                <w:lang w:val="en-US" w:eastAsia="zh-CN"/>
              </w:rPr>
              <w:t>5</w:t>
            </w:r>
          </w:p>
        </w:tc>
        <w:tc>
          <w:tcPr>
            <w:tcW w:w="722" w:type="pct"/>
            <w:noWrap w:val="0"/>
            <w:vAlign w:val="center"/>
          </w:tcPr>
          <w:p w14:paraId="6ABBDB9A">
            <w:pPr>
              <w:widowControl/>
              <w:adjustRightInd/>
              <w:jc w:val="center"/>
              <w:textAlignment w:val="auto"/>
              <w:outlineLvl w:val="1"/>
              <w:rPr>
                <w:rFonts w:hint="eastAsia" w:ascii="仿宋" w:hAnsi="仿宋" w:eastAsia="仿宋" w:cs="仿宋"/>
                <w:b w:val="0"/>
                <w:bCs/>
                <w:color w:val="auto"/>
                <w:kern w:val="2"/>
                <w:sz w:val="21"/>
                <w:szCs w:val="21"/>
                <w:lang w:eastAsia="zh-CN"/>
              </w:rPr>
            </w:pPr>
            <w:r>
              <w:rPr>
                <w:rFonts w:hint="eastAsia" w:ascii="仿宋" w:hAnsi="仿宋" w:eastAsia="仿宋" w:cs="仿宋"/>
                <w:b w:val="0"/>
                <w:bCs/>
                <w:color w:val="auto"/>
                <w:kern w:val="2"/>
                <w:sz w:val="21"/>
                <w:szCs w:val="21"/>
                <w:lang w:eastAsia="zh-CN"/>
              </w:rPr>
              <w:t>外观设计</w:t>
            </w:r>
          </w:p>
        </w:tc>
        <w:tc>
          <w:tcPr>
            <w:tcW w:w="1571" w:type="pct"/>
            <w:noWrap w:val="0"/>
            <w:vAlign w:val="center"/>
          </w:tcPr>
          <w:p w14:paraId="58278BD4">
            <w:pPr>
              <w:widowControl/>
              <w:adjustRightInd/>
              <w:jc w:val="center"/>
              <w:textAlignment w:val="auto"/>
              <w:outlineLvl w:val="1"/>
              <w:rPr>
                <w:rFonts w:hint="eastAsia" w:ascii="仿宋" w:hAnsi="仿宋" w:eastAsia="仿宋" w:cs="仿宋"/>
                <w:b w:val="0"/>
                <w:bCs/>
                <w:color w:val="auto"/>
                <w:kern w:val="2"/>
                <w:sz w:val="21"/>
                <w:szCs w:val="21"/>
                <w:lang w:val="en-US" w:eastAsia="zh-CN" w:bidi="ar-SA"/>
              </w:rPr>
            </w:pPr>
            <w:bookmarkStart w:id="7" w:name="_Toc23012"/>
            <w:r>
              <w:rPr>
                <w:rFonts w:hint="eastAsia" w:ascii="仿宋" w:hAnsi="仿宋" w:eastAsia="仿宋" w:cs="仿宋"/>
                <w:b w:val="0"/>
                <w:bCs/>
                <w:color w:val="auto"/>
                <w:kern w:val="2"/>
                <w:sz w:val="21"/>
                <w:szCs w:val="21"/>
                <w:lang w:eastAsia="zh-CN"/>
              </w:rPr>
              <w:t>代理费</w:t>
            </w:r>
          </w:p>
        </w:tc>
        <w:tc>
          <w:tcPr>
            <w:tcW w:w="2208" w:type="pct"/>
            <w:noWrap w:val="0"/>
            <w:vAlign w:val="center"/>
          </w:tcPr>
          <w:p w14:paraId="71EC2572">
            <w:pPr>
              <w:widowControl/>
              <w:adjustRightInd/>
              <w:jc w:val="center"/>
              <w:textAlignment w:val="auto"/>
              <w:outlineLvl w:val="1"/>
              <w:rPr>
                <w:rFonts w:hint="eastAsia" w:ascii="仿宋" w:hAnsi="仿宋" w:eastAsia="仿宋" w:cs="仿宋"/>
                <w:b w:val="0"/>
                <w:bCs/>
                <w:color w:val="auto"/>
                <w:kern w:val="2"/>
                <w:sz w:val="21"/>
                <w:szCs w:val="21"/>
              </w:rPr>
            </w:pPr>
            <w:r>
              <w:rPr>
                <w:rFonts w:hint="eastAsia" w:ascii="仿宋" w:hAnsi="仿宋" w:eastAsia="仿宋" w:cs="仿宋"/>
                <w:b w:val="0"/>
                <w:bCs/>
                <w:color w:val="auto"/>
                <w:kern w:val="2"/>
                <w:sz w:val="21"/>
                <w:szCs w:val="21"/>
                <w:lang w:val="en-US" w:eastAsia="zh-CN"/>
              </w:rPr>
              <w:t>1000</w:t>
            </w:r>
            <w:r>
              <w:rPr>
                <w:rFonts w:hint="eastAsia" w:ascii="仿宋" w:hAnsi="仿宋" w:eastAsia="仿宋" w:cs="仿宋"/>
                <w:b w:val="0"/>
                <w:bCs/>
                <w:color w:val="auto"/>
                <w:kern w:val="2"/>
                <w:sz w:val="21"/>
                <w:szCs w:val="21"/>
              </w:rPr>
              <w:t>元/项</w:t>
            </w:r>
            <w:bookmarkEnd w:id="7"/>
          </w:p>
        </w:tc>
      </w:tr>
      <w:tr w14:paraId="6A0FDBC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497" w:type="pct"/>
            <w:noWrap w:val="0"/>
            <w:vAlign w:val="center"/>
          </w:tcPr>
          <w:p w14:paraId="1632FE33">
            <w:pPr>
              <w:widowControl/>
              <w:adjustRightInd/>
              <w:jc w:val="center"/>
              <w:textAlignment w:val="auto"/>
              <w:outlineLvl w:val="1"/>
              <w:rPr>
                <w:rFonts w:hint="eastAsia" w:ascii="仿宋" w:hAnsi="仿宋" w:eastAsia="仿宋" w:cs="仿宋"/>
                <w:b w:val="0"/>
                <w:bCs/>
                <w:color w:val="auto"/>
                <w:kern w:val="2"/>
                <w:sz w:val="21"/>
                <w:szCs w:val="21"/>
                <w:lang w:eastAsia="zh-CN"/>
              </w:rPr>
            </w:pPr>
            <w:bookmarkStart w:id="8" w:name="_Toc26681"/>
            <w:bookmarkStart w:id="9" w:name="_Toc480130750"/>
            <w:r>
              <w:rPr>
                <w:rFonts w:hint="eastAsia" w:ascii="仿宋" w:hAnsi="仿宋" w:eastAsia="仿宋" w:cs="仿宋"/>
                <w:b w:val="0"/>
                <w:bCs/>
                <w:color w:val="auto"/>
                <w:kern w:val="2"/>
                <w:sz w:val="21"/>
                <w:szCs w:val="21"/>
                <w:lang w:val="en-US" w:eastAsia="zh-CN"/>
              </w:rPr>
              <w:t>6</w:t>
            </w:r>
          </w:p>
        </w:tc>
        <w:tc>
          <w:tcPr>
            <w:tcW w:w="2293" w:type="pct"/>
            <w:gridSpan w:val="2"/>
            <w:noWrap w:val="0"/>
            <w:vAlign w:val="center"/>
          </w:tcPr>
          <w:p w14:paraId="5FF12060">
            <w:pPr>
              <w:widowControl/>
              <w:adjustRightInd/>
              <w:jc w:val="center"/>
              <w:textAlignment w:val="auto"/>
              <w:outlineLvl w:val="1"/>
              <w:rPr>
                <w:rFonts w:hint="eastAsia" w:ascii="仿宋" w:hAnsi="仿宋" w:eastAsia="仿宋" w:cs="仿宋"/>
                <w:b w:val="0"/>
                <w:bCs/>
                <w:color w:val="auto"/>
                <w:kern w:val="2"/>
                <w:sz w:val="21"/>
                <w:szCs w:val="21"/>
                <w:lang w:val="en-US" w:eastAsia="zh-CN"/>
              </w:rPr>
            </w:pPr>
            <w:r>
              <w:rPr>
                <w:rFonts w:hint="eastAsia" w:ascii="仿宋" w:hAnsi="仿宋" w:eastAsia="仿宋" w:cs="仿宋"/>
                <w:b w:val="0"/>
                <w:bCs/>
                <w:color w:val="auto"/>
                <w:kern w:val="2"/>
                <w:sz w:val="21"/>
                <w:szCs w:val="21"/>
                <w:lang w:val="en-US" w:eastAsia="zh-CN"/>
              </w:rPr>
              <w:t>软件著作权登记</w:t>
            </w:r>
          </w:p>
        </w:tc>
        <w:tc>
          <w:tcPr>
            <w:tcW w:w="2208" w:type="pct"/>
            <w:noWrap w:val="0"/>
            <w:vAlign w:val="center"/>
          </w:tcPr>
          <w:p w14:paraId="3D52E1A5">
            <w:pPr>
              <w:widowControl/>
              <w:adjustRightInd/>
              <w:jc w:val="center"/>
              <w:textAlignment w:val="auto"/>
              <w:outlineLvl w:val="1"/>
              <w:rPr>
                <w:rFonts w:hint="eastAsia" w:ascii="仿宋" w:hAnsi="仿宋" w:eastAsia="仿宋" w:cs="仿宋"/>
                <w:b w:val="0"/>
                <w:bCs/>
                <w:color w:val="auto"/>
                <w:kern w:val="2"/>
                <w:sz w:val="21"/>
                <w:szCs w:val="21"/>
                <w:lang w:val="en-US" w:eastAsia="zh-CN"/>
              </w:rPr>
            </w:pPr>
            <w:r>
              <w:rPr>
                <w:rFonts w:hint="eastAsia" w:ascii="仿宋" w:hAnsi="仿宋" w:eastAsia="仿宋" w:cs="仿宋"/>
                <w:b w:val="0"/>
                <w:bCs/>
                <w:color w:val="auto"/>
                <w:kern w:val="2"/>
                <w:sz w:val="21"/>
                <w:szCs w:val="21"/>
                <w:lang w:val="en-US" w:eastAsia="zh-CN"/>
              </w:rPr>
              <w:t>1000元/项</w:t>
            </w:r>
          </w:p>
        </w:tc>
      </w:tr>
      <w:bookmarkEnd w:id="8"/>
      <w:bookmarkEnd w:id="9"/>
    </w:tbl>
    <w:p w14:paraId="4ECCE66B">
      <w:pPr>
        <w:pStyle w:val="8"/>
        <w:keepNext w:val="0"/>
        <w:keepLines w:val="0"/>
        <w:pageBreakBefore w:val="0"/>
        <w:widowControl w:val="0"/>
        <w:kinsoku/>
        <w:wordWrap/>
        <w:overflowPunct/>
        <w:topLinePunct w:val="0"/>
        <w:autoSpaceDE/>
        <w:autoSpaceDN/>
        <w:bidi w:val="0"/>
        <w:adjustRightInd/>
        <w:snapToGrid/>
        <w:ind w:left="0" w:leftChars="0" w:firstLine="0" w:firstLineChars="0"/>
        <w:jc w:val="both"/>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注：发明专利官费</w:t>
      </w:r>
      <w:r>
        <w:rPr>
          <w:rFonts w:hint="eastAsia" w:ascii="仿宋" w:hAnsi="仿宋" w:eastAsia="仿宋" w:cs="仿宋"/>
          <w:b w:val="0"/>
          <w:bCs w:val="0"/>
          <w:color w:val="auto"/>
          <w:sz w:val="28"/>
          <w:szCs w:val="28"/>
          <w:lang w:val="en-US" w:eastAsia="zh-CN"/>
        </w:rPr>
        <w:t>（申请费、授权后前三年年费（包括授权当年））</w:t>
      </w:r>
      <w:bookmarkStart w:id="10" w:name="_GoBack"/>
      <w:bookmarkEnd w:id="10"/>
      <w:r>
        <w:rPr>
          <w:rFonts w:hint="eastAsia" w:ascii="仿宋" w:hAnsi="仿宋" w:eastAsia="仿宋" w:cs="仿宋"/>
          <w:color w:val="auto"/>
          <w:sz w:val="28"/>
          <w:szCs w:val="28"/>
          <w:lang w:val="en-US" w:eastAsia="zh-CN"/>
        </w:rPr>
        <w:t>定期由科技处统一和代理公司结算，发明专利代理费用和其他官费由发明人与代理公司结算；实用新型专利、外观设计专利、软件著作权所有费用由发明人与代理公司结算。</w:t>
      </w:r>
    </w:p>
    <w:p w14:paraId="37636F9C">
      <w:pPr>
        <w:keepNext w:val="0"/>
        <w:keepLines w:val="0"/>
        <w:pageBreakBefore w:val="0"/>
        <w:widowControl w:val="0"/>
        <w:kinsoku/>
        <w:wordWrap/>
        <w:overflowPunct/>
        <w:topLinePunct w:val="0"/>
        <w:autoSpaceDE/>
        <w:autoSpaceDN/>
        <w:bidi w:val="0"/>
        <w:adjustRightInd/>
        <w:snapToGrid/>
        <w:spacing w:before="157" w:beforeLines="50" w:after="157" w:afterLines="50"/>
        <w:jc w:val="left"/>
        <w:textAlignment w:val="auto"/>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四、代理服务机构简介</w:t>
      </w:r>
    </w:p>
    <w:p w14:paraId="3DF1B4AF">
      <w:pPr>
        <w:keepNext w:val="0"/>
        <w:keepLines w:val="0"/>
        <w:pageBreakBefore w:val="0"/>
        <w:widowControl w:val="0"/>
        <w:kinsoku/>
        <w:wordWrap/>
        <w:overflowPunct/>
        <w:topLinePunct w:val="0"/>
        <w:autoSpaceDE/>
        <w:autoSpaceDN/>
        <w:bidi w:val="0"/>
        <w:adjustRightInd/>
        <w:snapToGrid/>
        <w:ind w:firstLine="562" w:firstLineChars="200"/>
        <w:jc w:val="both"/>
        <w:textAlignment w:val="auto"/>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1、上海迎向知识产权代理事务所（普通合伙）</w:t>
      </w:r>
    </w:p>
    <w:p w14:paraId="318B66E6">
      <w:pPr>
        <w:keepNext w:val="0"/>
        <w:keepLines w:val="0"/>
        <w:pageBreakBefore w:val="0"/>
        <w:widowControl w:val="0"/>
        <w:kinsoku/>
        <w:wordWrap/>
        <w:overflowPunct/>
        <w:topLinePunct w:val="0"/>
        <w:autoSpaceDE/>
        <w:autoSpaceDN/>
        <w:bidi w:val="0"/>
        <w:adjustRightInd/>
        <w:snapToGrid/>
        <w:ind w:firstLine="560" w:firstLineChars="200"/>
        <w:jc w:val="both"/>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上海迎向知识产权代理事务所，是一家依中国法律成立的知识产权服务机构，事务所一半以上代理师为国知局前审查员，并具备十年以上发明专利审查经验，成立以来，持续关注于企业高价值知识产权服务。事务所已成功为包括大专院校、科研院所、以及互联网、通信、海工装备、航空航天、生物医药等行业创新主体提供全链条知识产权服务，事务所现有人员平均从业年限 8 年以上，具有专利代理、法律职业资格等从业资质，覆盖机械、电学、通讯、材料、化学、生物医药等领域，其中硕士以上学历占2/3，团队核心成员具有审查机构、企业以及代理所的复合经验。</w:t>
      </w:r>
    </w:p>
    <w:p w14:paraId="42E85C39">
      <w:pPr>
        <w:keepNext w:val="0"/>
        <w:keepLines w:val="0"/>
        <w:pageBreakBefore w:val="0"/>
        <w:widowControl w:val="0"/>
        <w:kinsoku/>
        <w:wordWrap/>
        <w:overflowPunct/>
        <w:topLinePunct w:val="0"/>
        <w:autoSpaceDE/>
        <w:autoSpaceDN/>
        <w:bidi w:val="0"/>
        <w:adjustRightInd/>
        <w:snapToGrid/>
        <w:ind w:firstLine="560" w:firstLineChars="200"/>
        <w:jc w:val="both"/>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业务范围包括专利申请、商标注册、计算机软件著作权登记、科技项目申报、专利无效、竞争情报分析、知识产权尽调、科技成果转化等。</w:t>
      </w:r>
    </w:p>
    <w:p w14:paraId="53C22238">
      <w:pPr>
        <w:keepNext w:val="0"/>
        <w:keepLines w:val="0"/>
        <w:pageBreakBefore w:val="0"/>
        <w:widowControl w:val="0"/>
        <w:kinsoku/>
        <w:wordWrap/>
        <w:overflowPunct/>
        <w:topLinePunct w:val="0"/>
        <w:autoSpaceDE/>
        <w:autoSpaceDN/>
        <w:bidi w:val="0"/>
        <w:adjustRightInd/>
        <w:snapToGrid/>
        <w:ind w:firstLine="562" w:firstLineChars="200"/>
        <w:jc w:val="both"/>
        <w:textAlignment w:val="auto"/>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2、上海科盛知识产权代理有限公司</w:t>
      </w:r>
    </w:p>
    <w:p w14:paraId="54BB9A70">
      <w:pPr>
        <w:keepNext w:val="0"/>
        <w:keepLines w:val="0"/>
        <w:pageBreakBefore w:val="0"/>
        <w:widowControl w:val="0"/>
        <w:kinsoku/>
        <w:wordWrap/>
        <w:overflowPunct/>
        <w:topLinePunct w:val="0"/>
        <w:autoSpaceDE/>
        <w:autoSpaceDN/>
        <w:bidi w:val="0"/>
        <w:adjustRightInd/>
        <w:snapToGrid/>
        <w:ind w:firstLine="560" w:firstLineChars="200"/>
        <w:jc w:val="both"/>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上海科盛知识产权代理有限公司是上海市知识产权服务行业协会会长单位、全国知识产权服务品牌机构、中华全国专利代理师协会常务理事单位，在专利代理行业中处于领先地位。</w:t>
      </w:r>
    </w:p>
    <w:p w14:paraId="073E4275">
      <w:pPr>
        <w:keepNext w:val="0"/>
        <w:keepLines w:val="0"/>
        <w:pageBreakBefore w:val="0"/>
        <w:widowControl w:val="0"/>
        <w:kinsoku/>
        <w:wordWrap/>
        <w:overflowPunct/>
        <w:topLinePunct w:val="0"/>
        <w:autoSpaceDE/>
        <w:autoSpaceDN/>
        <w:bidi w:val="0"/>
        <w:adjustRightInd/>
        <w:snapToGrid/>
        <w:ind w:firstLine="560" w:firstLineChars="200"/>
        <w:jc w:val="both"/>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公司拥有一支专业的、实践经验丰富的专利代理师队伍，其中专利代理师中70%以上具有硕士学历，主要代理的技术领域包括机械动力、电子通信、新材料、大数据、计算机、区块链、软件控制、人工智能、化学化工、生物医药等。主要合伙人均具有二十年以上的代理经验，拥有国家知识产权专家库专家一名，中国专利代理行业高层次人才一名，星级专利代理师三名，国家知识产权局荣誉表彰专利代理师五名，上海市知识产权服务领域杰出人物一名。</w:t>
      </w:r>
    </w:p>
    <w:p w14:paraId="17467F09">
      <w:pPr>
        <w:keepNext w:val="0"/>
        <w:keepLines w:val="0"/>
        <w:pageBreakBefore w:val="0"/>
        <w:widowControl w:val="0"/>
        <w:kinsoku/>
        <w:wordWrap/>
        <w:overflowPunct/>
        <w:topLinePunct w:val="0"/>
        <w:autoSpaceDE/>
        <w:autoSpaceDN/>
        <w:bidi w:val="0"/>
        <w:adjustRightInd/>
        <w:snapToGrid/>
        <w:ind w:firstLine="560" w:firstLineChars="200"/>
        <w:jc w:val="both"/>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公司业务范围包括代理专利申请、商标注册、计算机软件著作权登记、科技项目申报，以及专利检索、专利分析、专利战略、专利布局、专利导航、专利诉讼等知识产权事务。</w:t>
      </w:r>
    </w:p>
    <w:p w14:paraId="675810FC">
      <w:pPr>
        <w:keepNext w:val="0"/>
        <w:keepLines w:val="0"/>
        <w:pageBreakBefore w:val="0"/>
        <w:widowControl w:val="0"/>
        <w:kinsoku/>
        <w:wordWrap/>
        <w:overflowPunct/>
        <w:topLinePunct w:val="0"/>
        <w:autoSpaceDE/>
        <w:autoSpaceDN/>
        <w:bidi w:val="0"/>
        <w:adjustRightInd/>
        <w:snapToGrid/>
        <w:ind w:firstLine="562" w:firstLineChars="200"/>
        <w:jc w:val="left"/>
        <w:textAlignment w:val="auto"/>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3、上海唯智赢专利代理事务所（普通合伙）</w:t>
      </w:r>
    </w:p>
    <w:p w14:paraId="0AEB1EB8">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上海唯智赢专利代理事务所（普通合伙）的代理人团队成员毕业于985、211院校，具有良好的专业背景，并具有多年从事技术研发管理及专利代理行业的经验；专业领域覆盖机械、电子、电气、通讯、软件、船舶、汽车、材料等方面。团队合伙人从事专利代理行业超过15年，并具有机械、电子、自动化、软件、化学和生物医药以及法律方面的专业背景和工作经验。本所还聘请具有30多年代理经验的中国早期专利代理人担任顾问。</w:t>
      </w:r>
    </w:p>
    <w:p w14:paraId="2C36EA0A">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事务所具有完善的服务流程和内部管理制度，为专利提供全生命周期的服务；并可以根据需求，提供国际申请、向国外申请等服务，已经为申请人取得多项国外专利证书。</w:t>
      </w:r>
    </w:p>
    <w:p w14:paraId="7383C351">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除了为客户提供知识产权代理和检索、咨询服务，我们还为多家企业高校科研院所提供了专利导航和专利挖掘、布局，已经完成多份专利分析评议报告、专利导航和布局报告，并为客户的知识产权转化提供辅导和帮助。因此，我们可以多方面多层次满足客户的知识产权服务需求。</w:t>
      </w:r>
    </w:p>
    <w:p w14:paraId="42BABDED">
      <w:pPr>
        <w:keepNext w:val="0"/>
        <w:keepLines w:val="0"/>
        <w:pageBreakBefore w:val="0"/>
        <w:widowControl w:val="0"/>
        <w:numPr>
          <w:ilvl w:val="0"/>
          <w:numId w:val="0"/>
        </w:numPr>
        <w:kinsoku/>
        <w:wordWrap/>
        <w:overflowPunct/>
        <w:topLinePunct w:val="0"/>
        <w:autoSpaceDE/>
        <w:autoSpaceDN/>
        <w:bidi w:val="0"/>
        <w:adjustRightInd/>
        <w:snapToGrid/>
        <w:ind w:firstLine="562" w:firstLineChars="200"/>
        <w:jc w:val="left"/>
        <w:textAlignment w:val="auto"/>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4、上海诺衣知识产权代理事务所（普通合伙）</w:t>
      </w:r>
    </w:p>
    <w:p w14:paraId="69F3760A">
      <w:pPr>
        <w:keepNext w:val="0"/>
        <w:keepLines w:val="0"/>
        <w:pageBreakBefore w:val="0"/>
        <w:widowControl w:val="0"/>
        <w:numPr>
          <w:ilvl w:val="0"/>
          <w:numId w:val="0"/>
        </w:numPr>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上海诺衣知识产权代理事务所是上海市知识产权代理行业协议理事单位，上海市首批专利运营“特派员”单位，首批被认定的 31 家企业知识产权管理体系咨询辅导服务机构，上海市科技成果转移转化服务机构，上海市知识产权公共服务机构。</w:t>
      </w:r>
    </w:p>
    <w:p w14:paraId="464DADF7">
      <w:pPr>
        <w:keepNext w:val="0"/>
        <w:keepLines w:val="0"/>
        <w:pageBreakBefore w:val="0"/>
        <w:widowControl w:val="0"/>
        <w:numPr>
          <w:ilvl w:val="0"/>
          <w:numId w:val="0"/>
        </w:numPr>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目前公司拥有执业专利代理人25位、专利工程师10位，专业全面覆盖了包括机械、电子、物理、计算机、通信、工业设计、材料、化学、生物、医药、食品、法律等各种技术领域。</w:t>
      </w:r>
    </w:p>
    <w:p w14:paraId="00B505EF">
      <w:pPr>
        <w:keepNext w:val="0"/>
        <w:keepLines w:val="0"/>
        <w:pageBreakBefore w:val="0"/>
        <w:widowControl w:val="0"/>
        <w:numPr>
          <w:ilvl w:val="0"/>
          <w:numId w:val="0"/>
        </w:numPr>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诺衣知识产权为企业、科研院所提供的服务类型主要包括：1）国内外专利申请代理、商标代理、著作权申请代理、集成电路布图设计登记等一站式知识产权服务和知识产权专利代理服务；2）基于知识产权成果的转移、转化、评估、产学研融合对接服务；3）基于知识产权的科研项目申报服务；4）知识产权分析评议服务。</w:t>
      </w:r>
    </w:p>
    <w:p w14:paraId="075C9421">
      <w:pPr>
        <w:keepNext w:val="0"/>
        <w:keepLines w:val="0"/>
        <w:pageBreakBefore w:val="0"/>
        <w:widowControl w:val="0"/>
        <w:numPr>
          <w:ilvl w:val="0"/>
          <w:numId w:val="0"/>
        </w:numPr>
        <w:kinsoku/>
        <w:wordWrap/>
        <w:overflowPunct/>
        <w:topLinePunct w:val="0"/>
        <w:autoSpaceDE/>
        <w:autoSpaceDN/>
        <w:bidi w:val="0"/>
        <w:adjustRightInd/>
        <w:snapToGrid/>
        <w:ind w:firstLine="562" w:firstLineChars="200"/>
        <w:jc w:val="left"/>
        <w:textAlignment w:val="auto"/>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5、上海邦德专利代理事务所（普通合伙）</w:t>
      </w:r>
    </w:p>
    <w:p w14:paraId="5FC314DF">
      <w:pPr>
        <w:keepNext w:val="0"/>
        <w:keepLines w:val="0"/>
        <w:pageBreakBefore w:val="0"/>
        <w:widowControl w:val="0"/>
        <w:numPr>
          <w:ilvl w:val="0"/>
          <w:numId w:val="0"/>
        </w:numPr>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上海邦德成立于2004年，位于上海市徐汇区龙吴路上海交大科技园内，是国家工商局批准、国家知识产权局备案的专业知识产权代理机构，荣获上海市中小企业优秀服务机构，纳入上海研发公共服务平台。</w:t>
      </w:r>
    </w:p>
    <w:p w14:paraId="6EF68E9F">
      <w:pPr>
        <w:keepNext w:val="0"/>
        <w:keepLines w:val="0"/>
        <w:pageBreakBefore w:val="0"/>
        <w:widowControl w:val="0"/>
        <w:numPr>
          <w:ilvl w:val="0"/>
          <w:numId w:val="0"/>
        </w:numPr>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邦德团队具有极高的专业素养和丰富的知产经验，成员包括在该领域耕耘多年、有着丰富代理经验和专业实力的资深从业人士，还包括来自国家知识产权局专利局的业务专家，可提供国内外专利申请、布局、答复、复审、无效、侵权分析、法律诉讼等知识产权业务。已为上海交通大学、同济大学、上海理工大学、上海应用技术大学等本土高校及中科院上海卫星所等科研机构和上海大批优秀企业提供多年全领域专利服务，经验丰富，并获得业界一致口碑和客户广泛好评。</w:t>
      </w:r>
    </w:p>
    <w:p w14:paraId="3D818909">
      <w:pPr>
        <w:keepNext w:val="0"/>
        <w:keepLines w:val="0"/>
        <w:pageBreakBefore w:val="0"/>
        <w:widowControl w:val="0"/>
        <w:numPr>
          <w:ilvl w:val="0"/>
          <w:numId w:val="0"/>
        </w:numPr>
        <w:kinsoku/>
        <w:wordWrap/>
        <w:overflowPunct/>
        <w:topLinePunct w:val="0"/>
        <w:autoSpaceDE/>
        <w:autoSpaceDN/>
        <w:bidi w:val="0"/>
        <w:adjustRightInd/>
        <w:snapToGrid/>
        <w:ind w:firstLine="562" w:firstLineChars="200"/>
        <w:jc w:val="left"/>
        <w:textAlignment w:val="auto"/>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6、上海伯瑞杰知识产权代理有限公司</w:t>
      </w:r>
    </w:p>
    <w:p w14:paraId="7E7377C5">
      <w:pPr>
        <w:keepNext w:val="0"/>
        <w:keepLines w:val="0"/>
        <w:pageBreakBefore w:val="0"/>
        <w:widowControl w:val="0"/>
        <w:numPr>
          <w:ilvl w:val="0"/>
          <w:numId w:val="0"/>
        </w:numPr>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上海伯瑞杰知识产权代理有限公司成立于2005年2月，在浙江嘉善、内蒙等地设有分公司。公司有员工59名，其中专利代理师29名，公司有多名星级代理师、专利民事诉讼代理师、专利行政诉讼代理师、法律职业资格证、知识产权贯标外审员。</w:t>
      </w:r>
    </w:p>
    <w:p w14:paraId="7265DE5F">
      <w:pPr>
        <w:keepNext w:val="0"/>
        <w:keepLines w:val="0"/>
        <w:pageBreakBefore w:val="0"/>
        <w:widowControl w:val="0"/>
        <w:numPr>
          <w:ilvl w:val="0"/>
          <w:numId w:val="0"/>
        </w:numPr>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公司的技术专业主要集中在化学材料、电子通讯、机械结构、计算测量、软件通讯等几大领域。公司服务的高校及研究所包括上海交通大学、同济大学、复旦大学、上海海洋大学、上海电机学院、软件技术开发中心、上海船舶研究设计院等。</w:t>
      </w:r>
    </w:p>
    <w:p w14:paraId="32F87573">
      <w:pPr>
        <w:keepNext w:val="0"/>
        <w:keepLines w:val="0"/>
        <w:pageBreakBefore w:val="0"/>
        <w:widowControl w:val="0"/>
        <w:numPr>
          <w:ilvl w:val="0"/>
          <w:numId w:val="0"/>
        </w:numPr>
        <w:kinsoku/>
        <w:wordWrap/>
        <w:overflowPunct/>
        <w:topLinePunct w:val="0"/>
        <w:autoSpaceDE/>
        <w:autoSpaceDN/>
        <w:bidi w:val="0"/>
        <w:adjustRightInd/>
        <w:snapToGrid/>
        <w:ind w:firstLine="560" w:firstLineChars="200"/>
        <w:jc w:val="left"/>
        <w:textAlignment w:val="auto"/>
        <w:rPr>
          <w:rFonts w:hint="eastAsia"/>
          <w:lang w:val="en-US" w:eastAsia="zh-CN"/>
        </w:rPr>
      </w:pPr>
      <w:r>
        <w:rPr>
          <w:rFonts w:hint="eastAsia" w:ascii="仿宋" w:hAnsi="仿宋" w:eastAsia="仿宋" w:cs="仿宋"/>
          <w:sz w:val="28"/>
          <w:szCs w:val="28"/>
          <w:lang w:val="en-US" w:eastAsia="zh-CN"/>
        </w:rPr>
        <w:t>业务范围涵盖国内专利撰写、答复、复审、无效等；国际专利申请等相关事务，主要涉及美国、日本、欧洲等20多个主流国家；专利运营、检索、专利培训、专利挖掘及布局等。</w:t>
      </w:r>
    </w:p>
    <w:p w14:paraId="7A7DE17E">
      <w:pPr>
        <w:pStyle w:val="8"/>
        <w:keepNext w:val="0"/>
        <w:keepLines w:val="0"/>
        <w:pageBreakBefore w:val="0"/>
        <w:widowControl w:val="0"/>
        <w:kinsoku/>
        <w:wordWrap/>
        <w:overflowPunct/>
        <w:topLinePunct w:val="0"/>
        <w:autoSpaceDE/>
        <w:autoSpaceDN/>
        <w:bidi w:val="0"/>
        <w:adjustRightInd/>
        <w:snapToGrid/>
        <w:ind w:left="0" w:leftChars="0" w:firstLine="0" w:firstLineChars="0"/>
        <w:jc w:val="both"/>
        <w:textAlignment w:val="auto"/>
        <w:rPr>
          <w:rFonts w:hint="default" w:ascii="仿宋" w:hAnsi="仿宋" w:eastAsia="仿宋" w:cs="仿宋"/>
          <w:color w:val="auto"/>
          <w:sz w:val="28"/>
          <w:szCs w:val="28"/>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djMzJlOTM1NjliZTQ3NWNhMzdjNTczMWZmM2I4NTEifQ=="/>
  </w:docVars>
  <w:rsids>
    <w:rsidRoot w:val="00FA6602"/>
    <w:rsid w:val="000A7CEF"/>
    <w:rsid w:val="000E1639"/>
    <w:rsid w:val="002E1E93"/>
    <w:rsid w:val="00332E65"/>
    <w:rsid w:val="003C5373"/>
    <w:rsid w:val="00415CD2"/>
    <w:rsid w:val="00466E15"/>
    <w:rsid w:val="00577951"/>
    <w:rsid w:val="005F0595"/>
    <w:rsid w:val="0062107F"/>
    <w:rsid w:val="00825AFA"/>
    <w:rsid w:val="00956024"/>
    <w:rsid w:val="009D782F"/>
    <w:rsid w:val="00A92261"/>
    <w:rsid w:val="00B35D2A"/>
    <w:rsid w:val="00CA3AAE"/>
    <w:rsid w:val="00E80E78"/>
    <w:rsid w:val="00FA6602"/>
    <w:rsid w:val="00FD39BD"/>
    <w:rsid w:val="03115C12"/>
    <w:rsid w:val="032F07A2"/>
    <w:rsid w:val="04EF2225"/>
    <w:rsid w:val="06FF54F3"/>
    <w:rsid w:val="0BF20CB0"/>
    <w:rsid w:val="0C473EB3"/>
    <w:rsid w:val="142071CE"/>
    <w:rsid w:val="146E4727"/>
    <w:rsid w:val="18BA60DB"/>
    <w:rsid w:val="1AF3458F"/>
    <w:rsid w:val="1DE64A60"/>
    <w:rsid w:val="2318488F"/>
    <w:rsid w:val="2C9B5BAA"/>
    <w:rsid w:val="2E444877"/>
    <w:rsid w:val="30601421"/>
    <w:rsid w:val="32360AC0"/>
    <w:rsid w:val="3BBF2D85"/>
    <w:rsid w:val="3D4C137C"/>
    <w:rsid w:val="43862944"/>
    <w:rsid w:val="482F46EF"/>
    <w:rsid w:val="49AE4E73"/>
    <w:rsid w:val="4AB80B64"/>
    <w:rsid w:val="4B1733B4"/>
    <w:rsid w:val="507D1DBF"/>
    <w:rsid w:val="50F774E1"/>
    <w:rsid w:val="510134D9"/>
    <w:rsid w:val="54622FD8"/>
    <w:rsid w:val="5E057638"/>
    <w:rsid w:val="62C02849"/>
    <w:rsid w:val="6377577D"/>
    <w:rsid w:val="6E46356D"/>
    <w:rsid w:val="6E9F4F2E"/>
    <w:rsid w:val="70794E1A"/>
    <w:rsid w:val="714125CE"/>
    <w:rsid w:val="729A1756"/>
    <w:rsid w:val="735A6459"/>
    <w:rsid w:val="73EC540C"/>
    <w:rsid w:val="7A730E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qFormat="1" w:unhideWhenUsed="0" w:uiPriority="0" w:semiHidden="0"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lock Text"/>
    <w:basedOn w:val="1"/>
    <w:qFormat/>
    <w:uiPriority w:val="0"/>
    <w:pPr>
      <w:snapToGrid w:val="0"/>
      <w:spacing w:before="120" w:after="120" w:line="360" w:lineRule="auto"/>
      <w:ind w:left="900" w:leftChars="375" w:right="28" w:firstLine="454"/>
    </w:pPr>
    <w:rPr>
      <w:rFonts w:ascii="宋体" w:hAnsi="宋体" w:cs="宋体"/>
      <w:szCs w:val="24"/>
    </w:r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8">
    <w:name w:val="List Paragraph"/>
    <w:basedOn w:val="1"/>
    <w:qFormat/>
    <w:uiPriority w:val="34"/>
    <w:pPr>
      <w:ind w:firstLine="420" w:firstLineChars="200"/>
    </w:pPr>
  </w:style>
  <w:style w:type="character" w:customStyle="1" w:styleId="9">
    <w:name w:val="页眉 字符"/>
    <w:basedOn w:val="7"/>
    <w:link w:val="4"/>
    <w:qFormat/>
    <w:uiPriority w:val="99"/>
    <w:rPr>
      <w:sz w:val="18"/>
      <w:szCs w:val="18"/>
    </w:rPr>
  </w:style>
  <w:style w:type="character" w:customStyle="1" w:styleId="10">
    <w:name w:val="页脚 字符"/>
    <w:basedOn w:val="7"/>
    <w:link w:val="3"/>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7</Pages>
  <Words>3502</Words>
  <Characters>3756</Characters>
  <Lines>40</Lines>
  <Paragraphs>11</Paragraphs>
  <TotalTime>157</TotalTime>
  <ScaleCrop>false</ScaleCrop>
  <LinksUpToDate>false</LinksUpToDate>
  <CharactersWithSpaces>3761</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2021-11-17T04:43:00Z</dcterms:created>
  <dc:creator>admin</dc:creator>
  <cp:lastModifiedBy>刘宏伟</cp:lastModifiedBy>
  <dcterms:modified xsi:type="dcterms:W3CDTF">2025-06-27T05:40:21Z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5B2E8979DB7E47FC88E5B772A88A31E6</vt:lpwstr>
  </property>
  <property fmtid="{D5CDD505-2E9C-101B-9397-08002B2CF9AE}" pid="4" name="KSOTemplateDocerSaveRecord">
    <vt:lpwstr>eyJoZGlkIjoiMjgzZTBjZWQzMjM2MGYzOTlkMzhkMDkzZTNlZDAxM2IiLCJ1c2VySWQiOiIxNjEzODg4NTIzIn0=</vt:lpwstr>
  </property>
</Properties>
</file>